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5859-2014, promovido por don Verónica Diestro Villaplana, representada por la Procuradora de los Tribunales doña Gloria Llorente de la Torre y asistida por el Abogado don Raúl Tardío López, contra la Sentencia de 18 de junio de 2014 del Juzgado de lo Social núm. 1 de Badajoz, dictada en procedimiento ordinario núm. 220-2014. Ha intervenido el Ministerio Fiscal. Ha comparecido el Procurador de los Tribunales don Ramiro Reynolds Martínez, en representación del Excmo. Ayuntamiento de Santa Amalia (Badajoz), bajo la dirección letrada de don Antonio Prieto Benítez.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fecha 24 de septiembre de 2014 en la oficina de registro y reparto de asuntos civiles del Decanato de Madrid, y que tuvo entrada en este Tribunal el siguiente día 30, la Procuradora de los Tribunales doña Gloria Llorente de la Torre, actuando en nombre y representación de doña Verónica Diestro Villaplana, presentó recurso de amparo constitucional contra la Sentencia citada en el encabezamiento, al considerarla contraria al derecho fundamental consagrado en el art. 14 CE, segundo inciso, en su vertiente de prohibición de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viene prestando sus servicios en régimen de contratación laboral en el Ayuntamiento de Santa Amalia (Badajoz), como enfermera en una residencia de mayores con turnos rotatorios de mañana y tarde. El día 10 de marzo de 2014 interesó una reducción de jornada de un 33 por 100 para atender a sus tres hijos menores, así como que se fijase la jornada en horario de mañana, de 9:00 a 13:30 horas, de lunes a viernes. Aducía que con tal horario podría llevar a sus hijos al colegio y a la guardería, así como recogerlos a la salida de éstos y encargarse de su cuidado el resto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por resolución de la Alcaldía de 13 de marzo de 2014, accedió a la reducción de la jornada solicitada, con proporcional minoración de su salario, pero indicó a la empleada que debía decidir y comunicar su concreción horaria en cada uno de los tres turnos de trabajo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señora Diestro presentó demanda de procedimiento ordinario reclamando la concreción horaria solicitada en el escrito que dirigió al Ayuntamiento el día 10 de marzo de 2014, con condena a éste a una indemnización por daños morales en razón del tratamiento discriminatorio que le impedía conciliar su vida familiar y laboral. Invocaba en su escrito de demanda los arts. 14 y 39 CE, además de normas legales y convencionales que estimaba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Social núm. 1 de Badajoz dictó la Sentencia desestimatoria recurrida en amparo, con el siguiente fundamento de Derecho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consonancia con los principios de la ley Orgánica 3/2007 para la igualdad efectiva de mujeres y hombres, el art. 35,5 del E.T., reconoce el derecho a la reducción de jornada a quienes por razones de guarda legal, tengan a su cargo algún hijo o hijos menores en dicho año -o personas con discapacidad física o psíquica- con la disminución proporcional de su salario. La efectividad de este derecho, la concreción horaria, le corresponde efectuarla al trabajador pero dentro de su jornada ordinaria, (apartado 6 del citado art.), de tal modo que con base a este derecho pueda modificarse su jornada de trabajo en perjuicio de otros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actora, que presta sus servicios en un Centro Geriátrico como Enfermera, le ha sido reconocida la reducción de jornada, conforme solicitó, en un 33 por 100 pero lo que no es posible acceder a su pretensión en que le sea modificada su jornada de turnos, rotatorios de mañana y tarde a un turno fijo solo de mañana, por lo que procede, sin más, la íntegra desestimación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advertía a las partes, en la instrucción de recursos, de la posibilidad de interponer recurso de suplicación ante el Tribunal Superior de Justicia, que no fue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la recurrente en amparo se ha vulnerado el art. 14 CE, en su vertiente de prohibición de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razonar que no era posible recurrir en suplicación, de conformidad con lo dispuesto en el art. 139.l b) de la Ley 36/2011, de 10 de octubre, reguladora de la Jurisdicción Social, señala la demanda de amparo que el juzgador desestimó la pretensión deducida amparándose en lo dispuesto en el artículo 37.6 de la Ley del estatuto de los trabajadores (LET), obviando, por un lado, las necesidades familiares expuestas por la trabajadora, con tres hijos menores a su cargo y un turno rotatorio de trabajo que cumplir, y, por otro, el hecho de que el Ayuntamiento de Santa Amalia no aportara prueba alguna acreditativa de las distorsiones organizativas que pudiera haber ocasionado la pretensión deducida. La Sentencia impugnada, por ello, lesiona el derecho fundamental invocado, dado que no aplicó la jurisprudencia de este Tribunal en la materia, que exige el examen de la dimensión constitucional del derecho consagrado en el art. 37.5 LET (STC 3/2007, de 15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interesa que, con declaración de vulneración del derecho fundamental del art. 14 CE, acordemos la nulidad de la sentencia recurrida, ordenando la retroacción de las actuaciones al momento anterior al dictado de la misma a fin de que el juzgador emita un nuevo pronunciamiento en el que valore las circunstancias concurrentes y la dimensión constitucional del derecho reclamado, o, en su defecto y subsidiariamente, que declaremos la inconstitucionalidad de la expresión “dentro de su jornada ordinaria”, contenida en el artículo 37.6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Sección Cuarta de la Sala Segunda de este Tribunal, de 20 de julio de 2015, se acordó la admisión a trámite de la demanda de amparo. Habiéndose interesado con anterioridad la remisión de certificación de las actuaciones jurisdiccionales, en aplicación de lo dispuesto en el art. 51 de la Ley Orgánica del Tribunal Constitucional (LOTC), se solicitó al Juzgado de lo Social núm. 1 de Badajoz que procediera a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septiembre de 2015, el Procurador don Ramiro Reynolds Martínez solicitó que se le tuviera por personado en nombre y representación del Excmo. Ayuntamiento de Santa Amalia.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13 de octubre de 2015, se tuvo por recibido el anterior escrito del Procurador don Ramiro Reynolds Martínez, a quien se tuvo por personado y parte en la representación que ostenta, condicionado ello a que aportara en el plazo de diez días la escritura de poder original acreditativa de su representación. Se acordó, asimismo, abrir el plazo común de veinte días al Ministerio Fiscal y a las partes personadas, de conformidad con el art. 52.1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se ratificó en el contenido de su demanda, según consta en escrito de 27 de octubre de 2015, incorporando en este trámite la referencia a diversos estudios de la doctrina científica sobre la regulación legal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 escrito el día 3 de noviembre de 2015, interesando la inadmisión de la demanda, por falta de agotamiento de la vía previa [art. 44.1 a) LOTC], o el otorgamiento del amparo en su defecto, caso de rechazarse el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argumentación subrayando que, si bien no era susceptible de recurso de suplicación la sentencia aquí impugnada, la subsidiariedad del amparo hacía preceptiva la interposición de un incidente de nulidad de actuaciones, que no formalizó la demandante. De su lado, en cuanto al fondo del asunto, considera que el juzgador desestimó de una manera casi apodíctica la pretensión de la trabajadora, sin examinar las razones esgrimidas ni constatar dificultades organizativas para el empleador, que siendo una Administración pública debe velar particularmente contra comportamientos discriminatorios. En suma, no se ponderó la dimensión constitucional del asunto, esto es, ni la superior protección constitucional del derecho de la trabajadora a permanecer en su actividad profesional sin discriminación por razón de su maternidad, ni el mandato de protección a la familia y a la infancia reconocido en el texto constitucional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cuarta de la Sala Segunda de este Tribunal, de 10 de noviembre de 2015, se tuvo al Ayuntamiento de Santa Amalia por decaído en su derecho, al haber transcurrido el plazo conferido a su Procurador, en virtud de lo acordado en resolución de 13 de octubre de 2015, para la aportación de la escritura del poder original acreditativa de la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febrero de 2016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de fondo del presente recurso de amparo, atinente a si fue vulnerado el derecho de la recurrente a la no discriminación por razón de sexo (art. 14 CE), no puede ser abordada al haberse planteado fuera del plazo previsto a tal efecto en el art. 44.2 de la Ley Orgánica del Tribunal Constitucional (LOTC). Concurre en la demanda, así pues, el defecto de extemporaneidad que el art. 50.1 a) LOTC prevé como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actuaciones (diligencia de ordenación del Secretario judicial de 22 de agosto de 2014) muestran que la Sentencia impugnada en amparo fue notificada a la representación del recurrente el día 9 de julio de 2014. Como la demanda de amparo se presentó en la oficina de registro y reparto de asuntos civiles del Decanato de Madrid el día 24 de septiembre de 2014, resulta que entre esta fecha y la siguiente a la notificación de la resolución judicial había transcurrido un número holgadamente mayor de días hábiles que el de 30 que constituye el plazo de caducidad para la interposición del recurso de amparo (que vencía, en concreto, el día 19 de septiembre de 2014 a las 15:00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oponerse a esta decisión de inadmisión que se adopte en este momento procesal, tras la inicial admisión de la demanda de amparo, y mediante Sentencia. Este Tribunal ha declarado en constante jurisprudencia que los defectos insubsanables de que pudiera estar afectado el recurso de amparo no resultan sanados porque el recurso haya sido inicialmente admitido a trámite, de forma que la comprobación de los presupuestos procesales para la viabilidad de la acción pueden abordarse o reconsiderarse en la Sentencia, de oficio o a instancia de parte, dando lugar a un pronunciamiento de inadmisión por la falta de tales presupuestos, sin que para ello constituya obstáculo el carácter tasado de los pronunciamientos previstos en el art. 53 LOTC (entre tantas otras, SSTC 53/1983, de 20 de junio, FJ 2, o 118/2014, de 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como dijera en su fundamento jurídico único la STC 159/1998, de 13 de julio, o más tarde y literalmente la STC 174/2007, de 23 de julio, también en su único fundamento, “las importantes razones de seguridad jurídica y de igualdad en la aplicación de la Ley que impone la exigencia del requisito de tempestividad (SSTC 159/1998, de 13 de julio; 204/2005, de 18 de julio, FJ 2), y que hacen que el plazo para acudir a esta jurisdicción de amparo sea de caducidad, improrrogable y no susceptible de suspensión, y, por consiguiente, de inexorable cumplimiento (por todas, STC 85/2004, de 10 de mayo, FJ 2)”, determinan que proceda acordar la inadmisión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