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29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septiembre de 2015, la Procuradora de los Tribunales doña María Dolores Arcos Gómez, en nombre y representación de don Silvestre Cano Valero, interpuso recurso de amparo contra el Auto de 24 de julio de 2015 de la Sección Tercera de la Audiencia Provincial de Almería, desestimatorio del incidente de nulidad de actuaciones promovido contra la Sentencia de la Sección Tercera de la Audiencia Provincial de Almería de fecha 29 de abril de 2015, dictada en rollo de apelación 188-2015, en la que se desestimaba el recurso de apelación interpuesto contra la Sentencia de 18 de diciembre de 2013, dictada por el Juzgado de lo Penal núm. 5 de Almería, juicio oral 319-2014. En ella se condenó al demandante de amparo como autor de un delito de apropiación indebida de los arts. 252 y 249 del Código penal, con la circunstancia atenuante de dilaciones indebidas del art. 21.6 del Código penal, a la pena de un año de prisión, inhabilitación especial para ejercer el derecho de sufragio pasivo durante la condena, así como al pago de las costas procesales y a indemnizar en 13.500 € a don Enrique Ángel Romero Álvarez con los correspondientes intereses legales, cantidad de la que responderá subsidiariamente la mercantil Procava Antas,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solicitaba por otrosí, ex art. 56 de la Ley Orgánica del Tribunal Constitucional, la suspensión de la ejecución de la pena de un año de prisión impuesta al demandante de amparo, por cuanto podría causar un perjuicio tal que haría perder la finalidad del presente recurso de amparo, sin que dicha suspensión ocasione perturbación grave a ningún derecho constitucionalmente protegido, y por concurrir una apariencia de buen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providencia de 2 de febrero de 2016, y tras admitir el recurso por providencia fechada en el mismo día, acordó la formación de pieza separada para la tramitación del incidente sobre la suspensión solicitada y asimismo, conceder a la parte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parte recurrente presentó escrito de alegaciones con fecha 8 de febrero de 2016 en el que reitera la petición de suspensión con fundamento en que la pena impuesta es de un año de prisión, y que se perdería la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en este Tribunal el 10 de febrero de 2016, presentó alegaciones solicitando que se conceda la suspensión de la pena privativa de libertad, puesto que suspender la ejecución no ocasionaría una lesión específica y grave del interés general, más allá de la genérica que de por sí produce la no ejecución de un fallo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de la Ley Orgánica del Tribunal Constitucional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en relación a la suspensión de las penas de prisión, se ha venido utilizando como criterio de ponderación prioritario el de gravedad de la pena, aplicando de forma reiterada como directriz inicial la de que la pena se sitúe por encima o por debajo de la frontera de los cinco años de prisión (AATC 16/2009. de 26 de enero, 18/2011, de 28 de febrero, FJ 2, y 61/2013, de 27 de febrero, FJ 2), que es la que le sirve al legislador penal para diferenciar entre las penas graves y las menos graves, art. 33 del Código penal (ATC 44/2012,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las tesis del Ministerio Fiscal, concurren los requisitos que nuestra doctrina exige para otorgar la suspensión de la ejecución en cuanto a la pena privativa de libertad, por cuanto la duración de la pena impuesta —un año de prisión— permite afirmar que su ejecución puede ocasionar al demandante perjuicios irreparables que harían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ello procedente decretar la suspensión cautelar de la pena privativa de libertad impuesta en atención a su corta duración, tratando así de prevenir que la previsible duración de este amparo pudiera conllevar la inefectividad de un eventual pronunciamiento estimatorio de la demanda de amparo, y, conforme a la regla de accesorium sequitur principale, igual suspensión deberá extenderse a la privación del derecho de sufragio pasivo (art. 44 del Código penal) aneja a la privativa de libertad suspensa (por todos ATC 291/2014, de 1 de diciembre).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pena privativa de libertad de un año de prisión, y accesoria de privación del derecho de sufragio pasivo durante el tiempo de la condena, impuesta al recurrente en Sentencia núm. 635/2013, de 18 de diciembre, del Juzgado de lo Penal núm. 5 de Almería, confirmada en apelación por la dictada por la Sección Tercera de la Audiencia Provincial de Almería, de 29 de abril de 2015.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