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11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octubre de 2015 tuvo entrada en el Registro General de este Tribunal Constitucional, un escrito de la Procuradora de los Tribunales doña Ana Llorens Pardo, actuando en nombre y representación del matrimonio formado por doña Elaine Patricia Waite y don Alan Waite, por el que se interpuso demanda de amparo contra el Auto dictado por el Juzgado de Primera Instancia núm. 5 de Cartagena el 10 de septiembre de 2015, desestimatorio de la solicitud de nulidad del procedimiento de ejecución hipotecaria de bien inmueble núm. 114-2012, seguida contra los recurrentes por la entidad Caixabank, S.A., por impago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en concordancia con lo defendido previamente en el escrito de nulidad de actuaciones, alega la vulneración del art. 24.1 CE en su vertiente de derecho a no padecer indefensión, por cuanto los recurrentes no fueron notificados personalmente del proceso ejecutivo seguido en su contra sino por edictos, al haber resultado infructuoso el intento de emplazamiento en el domicilio designado en la escritura de constitución de la hipoteca, que era el de la propia vivienda ejecutada (sita en la localidad de Atamaría, Murcia), ateniéndose el Juzgado a lo dispuesto literalmente en el art. 686.3 de la Ley de enjuiciamiento civil (LEC). Los recurrentes consideran no justificada en este caso la notificación por la vía excepcional de los edictos, teniendo en cuenta que no se trataba de su vivienda habitual y que en la propia escritura se hacía constar su domicilio real, situado en el condado de Kent (Inglaterra), en el Reino Unido, por lo que el Juzgado debió proveer a su notificación en este último conforme se deriva del art. 156 LEC, así como por la doctrina constitucional que exige al órgano judicial el agotamiento de las gestiones que permitan dicho emplazamiento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 suplico de la demanda, por el que pidieron se otorgara el amparo con nulidad de las actuaciones y retroacción de las mismas al momento inmediatamente posterior al del dictado del Auto despachando ejecución, los recurrentes solicitaron por medio de otrosí digo la “suspensión de la toma de posesión aún no realizada ni acordada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a su pretensión suspensiva, la demanda alega: “A juicio de esta parte, la no suspensión de dicho trámite podría hacer perder la finalidad al presente recurso puesto que culminaría el procedimiento judicial en el que mis representados han sido privados del derecho fundamental a la tutela judicial efectiva. Asimismo, entiende esta parte que la suspensión de la toma de posesión no ocasiona perturbación grave de un interés constitucionalmente protegido ni afecta a los derechos y libertades de otra persona. La mercantil Buildingcenter, como es de público conocimiento, constituye la rama inmobiliari[a] del grupo Caixabank, por lo que, no hay propiamente ningún tercero afectado. Únicamente, quedaría en suspenso dicha toma de posesión de la finca por parte de dicha entidad a la que se cedió el remate. Así, en el caso de que se estime el presente recurso y se retrotraigan las actuaciones al momento del dictado del Auto despachando ejecución como se solicita en el presente escrito, la adjudicación podría hacerse a otra persona en el caso de que la subasta no quedara desierta. Además de que, en su caso, de estimarse la oposición de fondo que esta parte pudiere alegar en el procedimiento de ejecución hipotecaria podría verse reducida la cuantía por la que se despachase ejecución … lo que podría beneficiar incluso a la misma entidad Buildingcenter”.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la Sección Cuarta, Sala Segunda, de este Tribunal Constitucional, dictó diligencia de ordenación de 30 de octubre de 2015 por la que acordó dirigir atenta comunicación al Juzgado de Primera Instancia núm. 5 de Cartagena, a fin de que a la mayor brevedad posible se remitiera a la Sala Segunda de este Tribunal, certificación o fotocopia adverada de las actuaciones correspondientes al procedimiento de ejecución hipotecaria núm. 114-2012. Requerimiento que se reiteró por diligencia de constancia del 17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Administración de Justicia del Juzgado de referencia, remitió finalmente el testimonio solicitado mediante oficio de 7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 de marzo de 2016, la Sección Cuarta de este Tribunal dictó providencia por la que admitió a trámite el presente recurso de amparo, “apreciando que concurre en el mismo una especial trascendencia constitucional (art. 50.1 LOTC) como consecuencia de que el órgano judicial pudiera haber incurrido en una negativa manifiesta del deber de acatamiento de la doctrina de este Tribunal [STC 155/2009, FJ 2, f)]”. En consecuencia, y dado que ya se disponía de las actuaciones del procedimiento a quo, se acordó en la misma providencia dirigir atenta comunicación al Juzgado de Primera Instancia al único objeto de que, con arreglo a lo dispuesto en el art. 51 de la Ley Orgánica del Tribunal Constitucional (LOTC), procediera al emplazamiento de quienes hubieran sido parte en la causa, excepto a los recurrentes en amparo, para poder comparecer si lo desearan en este recurso,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fecha, la Sección Cuarta de este Tribunal dictó providencia acordando formar la pieza para la tramitación del incidente sobre la suspensión solicitada y conceder, conforme determina el art. 56 LOTC, un plazo común de tres días a los recurrentes y al Ministerio Fiscal para alegar lo que consideren procedente dentro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cumplimiento a este trámite, la representación procesal de la parte actora en amparo presentó escrito de alegaciones el 9 de marzo de 2016, reiterándose en su petición y en los argumentos vertidos en la demanda para fundarla. Cita en su apoyo el ATC 56/2013, de 25 de febrero, precisando que si bien en ese supuesto se trataba de la vivienda habitual del recurrente y aquí no lo es, ello no obsta a la aplicación del criterio favorable a la suspensión puesto que, “si no se suspende la toma de posesión señalada hasta que se resuelva definitivamente el recurso de amparo en curso, la situación fáctica del inmueble cuando dicha resolución recaiga será imposible de cumplir porque habrá un tercero hipotecario de buena fe que será titular del inmueble privando completamente de sentido y finalidad al recurso que ahora se tramita”.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precisa que el acto de toma de posesión de la vivienda por parte de la entidad adjudicatario está previsto para el día 28 de junio de 2016, según diligencia de ordenación dictada por la Secretaría del Juzgado el 18 de febrero y que adjunta con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este Tribunal Constitucional presentó su escrito de alegaciones el 10 de marzo de 2016, interesando acceder a la suspensión solicitada. Tras hacer cita de doctrina general de este Tribunal acerca de la posibilidad de acordar la suspensión de los efectos de resoluciones judiciales impugnadas en amparo, señala que la “aplicación al caso de la doctrina reseñada nos debe llevar a considerar que nos encontramos en uso de esos supuestos en que tratándose de un[a] resolución de carácter patrimonial, no obstante puede acabar afectando a derechos futuros de terceros adquirentes de buena fe, por lo que de acuerdo con la doctrina de este Tribunal, sería procedente la suspensión para evitar actuaciones cuya reversibilidad deviniera poco menos que imposible (vid. ATC 74/2013)”.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declarado este Tribunal en su ATC 198/2014, de 21 de julio, FJ 1, citado a su vez por el más reciente ATC 95/2015, de 25 de mayo, FJ 1, que: “como regla general, el apartado 1 del art. 56 de la Ley Orgánica del Tribunal Constitucional (en la redacción dada por la Ley Orgánica 6/2007, de 24 de mayo) determina que ‘la interposición del recurso de amparo no suspenderá los efectos del acto o sentencia impugnados’. Regla que se somete a excepción en el apartado 2 del mismo precepto, permitiendo la medida de suspensión total o parcial de los efectos del acto o sentencia impugnados, cuando uno u otra ‘produzca un perjuicio al recurrente que pudiera hacer perder al amparo su finalidad’, condicionado en todo caso a que ‘la suspensión no ocasione perturbación grave a un interés constitucionalmente protegido, ni a los derechos fundamentales o libertades de otra persona’. Conforme a la aplicación conjunta de ambas disposiciones,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su vez, respecto de la suspensión de resoluciones judiciales con contenido patrimonial, recordaba el indicado ATC 95/2015, FJ 2, que según criterio reiterado del Tribunal las mismas: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o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 En efecto, en relación con resoluciones judiciales cuya ejecución conlleva el desalojo de una vivienda o local, hemos declarado en diversas ocasiones, AATC 225/2000, de 2 de octubre, FJ 2; 187/2001, de 2 de julio, FFJJ 2 y 3; 210/2001, de 16 de julio, FJ 3; o 111/2003, de 7 de abril, FJ 2) que, salvo supuestos excepcionales, la ejecución de estas resoluciones debe ser suspendida, toda vez que el lanzamiento o privación de la posesión de aquéllos puede ocasionar situaciones irreversibles o daños de muy difícil reparación en el caso de que posteriormente se otorgue el amparo, como acontece en el presente caso, por lo cual resulta procedente el mantenimiento de la medida cautelar de suspensión del lanzamiento de la demandante de amparo de la vivienda que ocupa... [ATC 18/2012, de 30 de enero, FJ 3; en el mismo sentido, AATC 81/2012; de 7 de mayo, FJ 2; 103/2012, de 21 de mayo, FJ 1; 287/2013, de 16 de diciembre, FJ 1; 175/2014, de 23 de junio, FJ 1, y 59/2015, de 16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que reconoce la irreversibilidad del daño que comportaría la posible transmisión a un tercero de buena fe del bien inmueble, no exige necesariamente —aunque esta sin duda constituya una circunstancia de refuerzo en apoyo a la suspensión— que se trate del domicilio de la parte ejecutada, siendo suficiente con que la resolución impugnada se haya dictado en un procedimiento de ejecución dirigido a la realización forzosa de la vivienda o local de su propiedad, en cuanto presupuesto para que se ocasione aquel daño y, con ello, se otorgue la suspensión [entre otros, AATC 64/2009, de 23 de febrero, antecedente 2 d) y FJ 3; 287/2013, de 16 de diciembre, antecedente 2 y FJ 2; 282/2014, de 17 de noviembre, antecedente 2 y FJ 4; y 48/2016, de 29 de febrero, antecedente 1 y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presente caso permite acceder a lo solicitado. Se trata de un proceso ejecutivo hipotecario en el que, de acuerdo con el examen de las actuaciones remitidas por el Juzgado a quo, se constata que se celebró la subasta para la vivienda de los recurrentes el 6 de junio de 2014, quedando la misma desierta, lo que motivó que la representación procesal de la ejecutante Caixabank presentara escrito solicitando la adjudicación de la finca, “con facultad de ceder el remate a terceros”. La cesión se produjo a favor de la entidad Buildingcenter, S.A., aprobándose por la Secretaría del Juzgado mediante Decreto de 10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los vínculos existentes entre la entidad cedente y la cesionaria a que se refieren los recurrentes, de no acordarse la suspensión del acto de toma de posesión del bien inmueble y la de los demás efectos del proceso ejecutivo, la vivienda podría ser transmitida en cualquier momento futuro a un tercero que quedaría protegido por la fe pública registral (art. 34 de la Ley hipotecaria) y a quien no alcanzaría el pronunciamiento de nulidad de la ejecución si se estimara el amparo, a diferencia de quienes sí han intervenido dentro del procedimiento a quo —incluyendo como cesionaria del remate, a la entidad Buildingcenter—. Por lo que, de producirse tal eventualidad —transmisión futura a un tercero— haría irreivindicable la finca, haciendo perder al presente recurso su finalidad. No apreciándose tampoco que la medida de suspensión ocasione, como ya se señaló, “perturbación grave a un interés constitucionalmente protegido, ni a los derechos fundamentales o libertades de otra persona”, debe acordarse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dictado por el Juzgado de Primera Instancia núm. 5 de Cartagena el 10 de septiembre de 2015, en el procedimiento de ejecución hipotecaria núm. 114-2012; con suspensión igualmente del acto de toma de posesión del bien inmueble ejecutado, previsto para el próximo día 28 de junio de 2016, y las demás actuaciones relativas a dicha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