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4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dictada por el Pleno de la Sala Tercera del Tribunal Supremo de 18 de Noviembre de 2013, en recurso de casación 848-2013 interpuesto contra la Sentencia de 30 de enero de 2013 de la Sección Cuarta de la Sala de lo Contencioso-Administrativo de la Audiencia Nacional recaída en el procedimiento de derechos fundamentales núm. 9-2012. El presente recurso de amparo fue registrado con el núm. 354-2014.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4 de mayo de 2016, el Magistrado don Ricardo Enríquez Sancho, comunicó a los efectos oportunos que se abstenía de intervenir en el antes indicado recurso de amparo, de conformidad con el art. 80 de la Ley Orgánica del Tribunal Constitucional, por haber formado parte del Pleno de la Sala Tercera del Tribunal Supremo que dictó el 18 de noviembre de 2013 en el recurso de casación 848-2013 la Sentencia impugnada en el presente recurso de amparo núm. 354-2014.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del Tribunal Constitucional, la Sala en virtud de lo previsto en el art. 219 apartado 11 de la Ley Orgánica del Poder Judicial, supletoria de la Ley Orgánica del Tribunal Constitucional (art. 80), estima justificada la causa de abstención formulada, puesto que el mencionado Magistrado formó parte del Pleno de la Sala Tercera del Tribunal Supremo que dictó el 18 de noviembre de 2013 en el recurso de casación 848-2013 la Sentencia recurrida en el presente recurso de amparo 354-2014.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354-2014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