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9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enero de 2013, el Procurador de los Tribunales don Jorge Deleito García, en nombre y representación de don Francisco de Asís Serrano Castro, y bajo la dirección del Letrado don Miguel García-Diéguez López, interpuso recurso de amparo contra el Auto de la Sala de lo Penal del Tribunal Supremo de 30 de octubre de 2012 —aclarado por Auto de 20 de noviembre de 2012—, por el que se acuerda no haber lugar a admitir a trámite la petición de nulidad de actuaciones interpuesta contra la Sentencia de 29 de junio de 2012 por la que se estima parcialmente el recurso de casación núm. 2172-2011 interpuesto contra la Sentencia de la Sala de lo Civil y lo Penal del Tribunal Superior de Justicia de Andalucía de 13 de octubre de 2011, dictada en el procedimiento abreviado núm. 1-2011, y se condena al recurrente como autor de un delito de prevaricación judicial a la pena de multa de doce meses con una cuota diaria de 6 € y la inhabilitación especial para el cargo de Juez o Magistrado durante diez años, con pérdida definitiva del cargo que ostenta y honores que le son anejos, así como la incapacidad para obtener durante el tiempo de la condena cualquier empleo o cargo con funciones jurisdiccionales o de gobierno dentro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22 de mayo de 2014, acordó la admisión a trámite de la demanda de amparo y el emplazamiento a quienes hubieran sido parte en la vía judicial previa para que pudieran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Secretaria de Justicia de la Sala Primera de este Tribunal, por diligencia de ordenación de 1 de julio de 2014, tuvo por personado y parte al Procurador de los Tribunales. don Víctor García Montes, en nombre y representación de doña Rosario Isabel Hinojosa Picón. Por diligencia de ordenación de 16 de octubre de 2014 se tuvo por sustituido al citado Procurador por el Procurador de los Tribunales don Roberto Granizo Palomeque.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mediante escrito registrado el 16 de marzo de 2016, solicitó que se suspendiera su condena y que se acordara su reincorporación como Magistrado titular del Juzgado núm. 7 de Sevilla sin necesidad de prestar caución, alegando que “la presente situación le está conllevando un grave perjuicio no solo psíquico y emocional sino también económico y profesional…” y que de los diez años de inhabilitación impuesta ya lleva cumplidos más de cinco años. Por otro lado, alega que su reincorporación al ejercicio de sus funciones judiciales no conlleva ningún perjuicio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 este Tribunal, por providencia de 11 de abril de 2016, acordó formar pieza separada de suspensión y conceder al Ministerio Fiscal y demás partes personadas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18 de abril de 2016, presentó alegaciones en las que, enunciando la jurisprudencia de este Tribunal sobre el particular (AATC 167/2013, 247/2014 y 7/2015), interesó que se denegara la suspensión, argumentando que la pena de inhabilitación impuesta “es grave y tiene una duración superior al tiempo normal de tramitación de un recurso de amparo” y “no se desprende de lo actuado que concurra alguna circunstancia que aconseje no aplicar los criterios generales de gravedad y duración de la pena”. Igualmente, afirma que la pena ha sido impuesta por un delito cometido con ocasión del desempeño de su función judicial, con lo que “no puede descartarse la perturbación de los intereses generales” si se produce su reincorporación a su puesto judicial. Por último, se expone que en caso de otorgamiento del amparo se permitiría la reparación del perjuicio sufrido a través de la reposición en el cargo y demás efectos resarcitorios y que no se ha cumplido la carga de acreditar los daños y perjuicios que se alega que se están produciendo.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comparecida, por escrito registrado el 19 de abril de 2016, presentó alegaciones oponiéndose a la suspensión de la ejecución de la pena de inhabilitación impuesta, argumentando que la solicitud es extemporánea por no efectuarse al presentarse el recurso de amparo; “tampoco existe una resolución expresa de este Tribunal, de admisión a trámite del mismo”; y el Tribunal Constitucional carece de competencia para conceder la reincorporación a la carrera judicial. Además se alega que no se ha cumplido con la carga de acreditar los daños y perjuicios que se dicen producidos; y que la pena tiene meros efectos patrimoniales que pueden ser resarcidos por el Estado en caso de estimarse el amparo, estando ejerciendo como abogados. Mediante otrosí, en relación con los Magistrados señores Ollero Tassara y Martínez-Vares García, se afirma que “interesa esta parte promover que acuerden su abstención de oficio (art. 217 de la Ley Orgánica del Poder Judicial: LOPJ) dada la necesaria ‘apariencia de imparcialidad’ y se ha publicado en la prensa ‘Diario de Sevilla’, una foto del Sr. Ollero Tassara en Sevilla, con el Abogado Moeckel Gil (que lo fue del Sr. Serrano) y la íntima amistad y relación del Periodista (hijo del Sr. Martínez-Vares) que fue ‘Jefe de Prensa del Alcalde de Sevilla y ExJuez Sr. Zoido’ el cual tiene una gran amistad con el Juez Serrano, por lo que interesamos que se les dé el oportuno trámite para que de oficio se abstengan”.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cuestión previa, la parte comparecida ha solicitado, al amparo del art. 217 de la Ley Orgánica del Poder Judicial (LOPJ), que dos de los Magistrados de esta Sala “acuerden su abstención de oficio”. El art. 80 de la Ley Orgánica del Tribunal Constitucional (LOTC) establece que será de aplicación supletoria en los procesos constitucionales la Ley Orgánica del Poder Judicial en materia, entre otras, de recusación y abstención. En atención a dicha aplicación supletoria, es preciso poner de manifiesto que la institución que regula la pretensión de abstención de un Juez o Magistrado a petición de parte legitimada es, de conformidad con el art. 218 LOPJ, la recusación, a cuyo fin deben de cumplirse los requisitos establecidos en el art. 223 LOPJ, que en el presente caso no concurren, ya que formalmente no se cumplen las exigencias de postulación previstas en el art. 223.2 LOPJ. En cualquier caso, además, una eventual solicitud de recusación hubiera resultado también inadmisible de conformidad con el art. 223.1.1 LOPJ, toda vez que ha transcurrido ampliamente el plazo de diez días desde que la parte comparecida tuvo conocimiento de que la Sala competente para la resolución de este recurso era la Sala Primera de este Tribunal, siendo también de conocimiento público, por su publicación en el “Boletín Oficial del Estado”, que, de conformidad con lo establecido en el art. 1.1 del acuerdo de 26 de junio de 2013, del Pleno del Tribunal Constitucional, por el que se dispone la composición de las Salas y Secciones del Tribunal Constitucional, los dos Magistrados mencionados en el escrito forman parte de la citada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Por su parte, el artículo 56.4 establece que la suspensión “podrá pedirse en cualquier tiempo, antes de haberse pronunciado la sentencia o decidirse el amparo de otro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adopción de medidas cautelares en el procedimiento de amparo, este Tribunal ha declarado que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el Tribunal ha declarado que, con carácter general, aquella no causa un perjuicio irreparable al obligado al pago ni puede hacer perder al amparo su finalidad, al ser posible la restitución íntegra de lo ejecutado.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relación con la suspensión de penas principales de inhabilitación para el ejercicio de un cargo, este Tribunal ha afirmado que (i)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 (ii) la ejecución de este tipo de penas permite un modo de reparación del perjuicio sufrido, cuando afecta a funcionarios públicos, a través de su reposición en el cargo anterior y demás efectos resarcitorios; y (iii) a los efectos de valorar la presencia de una perturbación grave para los intereses generales, ha de tenerse en cuenta que los hechos cuya comisión da lugar a su imposición derivan del ejercicio de funciones públicas, susceptibles de socavar, por tanto, la confianza de los ciudadanos en los funcionarios precisamente encargados de velar por su seguridad y libertad, al suponer la reincorporación del condenado al ejercicio de la función pública, siendo por consiguiente de temer el riesgo de que se provoque una grave perturbación de los intereses generales (así, STC 16772013, de 9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y frente a lo alegado por la parte comparecida, se pone de manifiesto que (i) ya ha recaído una resolución de avocación del conocimiento sobre la admisibilidad a la Sala y de admisión del presente recurso de amparo constituida por la providencia de 22 de mayo de 2014, de la que es indubitado su conocimiento por la parte comparecida al aparecer incluso citada en su escrito registrado el 27 de junio de 2014 por el que solicitó que se le tuviera como comparecido y parte en este procedimiento; (ii) que las solicitudes de suspensión, de conformidad con el art. 56.4 LOTC, pueden instarse “en cualquier tiempo, antes de haberse pronunciado la sentencia o decidirse el amparo de otro modo”; y (iii) que la competencia de este Tribunal para acordar la suspensión de los efectos de una resolución judicial impugnada en un recurso de amparo viene establecida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relación con la cuestión de fondo de la suspensión instada por el recurrente respecto de la pena de inhabilitación especial para el cargo de Juez o Magistrado durante diez años, con pérdida definitiva del cargo que ostenta y honores que le son anejos, así como la incapacidad para obtener durante el tiempo de la condena cualquier empleo o cargo con funciones jurisdiccionales o de gobierno dentro del poder judicial, no procede acceder a lo solicitado, tal como también ha interesado el Ministerio Fiscal. En efecto, (i) la ejecución de este tipo de penas permite un modo de reparación del perjuicio sufrido a través de su reposición en el cargo anterior y demás efectos resarcitorios; y (ii) el recurrente no ha acreditado los daños y perjuicios alegados que la ejecución de esta pena privativa de derechos le está ocasionando.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