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24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noviembre de 2015, el Procurador de los Tribunales don David García Riquelme, en nombre y representación de doña Yuanfang Wei, y bajo la dirección del Letrado don Carlos Castresana Fernández, presentó demanda de amparo contra el Auto del Pleno de la Sala de lo Penal de la Audiencia Nacional de 23 de octubre de 2015, por el que se desestima el incidente de nulidad de actuaciones interpuesto contra el Auto de 22 de septiembre de 2015, por el que se desestima el recurso de súplica núm. 43-2015 interpuesto contra el Auto de la Sección Cuarta de la Sala de lo Penal de la Audiencia Nacional de 14 de julio de 2015, dictado en el rollo de sala núm. 10-2015, acordando acceder en vía jurisdiccional a la entrega extradicional de la recurrente a la República Popular China.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aduce en su demanda de amparo que las decisiones judiciales impugnadas han vulnerado (i) el derecho al Juez ordinario predeterminado por la ley (art. 24.2 CE), argumentando que el delito que se le imputa es la compra en China de productos falsificados para su importación y venta en España, por lo que, en su caso, la conducta típica se habrá producido en España siendo los órganos judiciales de este país los competentes para su enjuiciamiento y no los de China; (ii) el derecho a la legalidad sancionadora (art. 25.1 CE), argumentando que, a los efectos de la doble incriminación, se ha interpretado de manera extensiva el art. 214 del Código penal de la República Popular China que establece como conducta típica la de vender y no la de comerciar en general; y (iii) el derecho a la tutela judicial efectiva (art. 24.1 CE), argumentando que el sistema judicial de China no cuenta con las suficientes garantías para ser sometido a un proceso con las debidas garantías, los testimonios en que se basan la imputación son de coimputados y no estas corroborados, la pena que se puede imponer en China es desproporcionada en relación con la prevista en la legislación española y no se ha tomado en consideración el arraigo social de la recurrente que vive en España desde hace veinticinco años a donde llegó siendo menor de edad y tiene dos hijos de diez años cuyo sustento depende exclusivamente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19 de noviembre de 2015, acordó no admitir el recurso a trámite, con arreglo a lo previsto en el art. 50.1 a) de la Ley Orgánica del Tribunal Constitucional (LOTC),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16 de diciembre de 2015, interpuso recurso de súplica contra dicha providencia, solicitando que fuera dejada sin efecto y se repusieran las actuaciones para que se decidiera nuevamente sobre la admisión de la demanda de amparo. El Ministerio Fiscal argumenta que “[e]l examen de las resoluciones judiciales impugnadas no permite descartar, en esta fase de admisión, la apariencia de lesión constitucional”, poniendo de manifiesto que el art. 214 del Código penal de la República Popular de China solo sanciona las conductas de venta por lo que no cabría entender subsumida en la misma la conducta de la recurrente consistente en la comparar en China de mercancía falsificada para su posterior importación, distribución y venta en España, que, por el contrario, sí está tipificada en el art. 274 del Código penal español. En atención a ello expone que, con arreglo a la doctrina constitucional (STC 162/2000, FJ 6), la exigencia de doble incriminación se enmarca en el derecho a la legalidad sancionadora (art. 25.1 CE) y que en este caso no puede descartarse que se haya producido su vulneración al haber concluido las resoluciones judiciales impugnadas el cumplimiento de este requisito de doble incriminación a partir de una interpretación imprevisible y ajena a los términos de la norma aplicada en tanto que se sustenta que el concepto vender es equivalente al de comerciar en general o a cualquier actividad de compra de productos falsificados.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solicitó mediante otrosí que se acordara la suspensión de las resoluciones judiciales impugnadas en amparo mientras se tramitaba y resolvía el recurso de súplica, a lo que se accedió mediante providencia de la Sección primera de este Tribunal de 17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Primera de este Tribunal, por diligencia de ordenación de 16 de diciembre de 2015, acordó dar traslado del recurso de súplica para alegaciones a la demandante, quien por escrito registrado el 23 de diciembre de 2015 se adhirió en todos sus términos a los argumentos esgrimidos en dicho recurso, ratificándose en las alegaciones formuladas en la demanda de amparo respecto de las vulneraciones de los derechos fundamentales en que considera han incurrido las resoluciones judiciales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en los términos expuestos por el Ministerio Fiscal en su recurso de súplica, no puede descartarse que, tal como se estableció en la providencia de inadmisión ahora impugnada, sea manifiestamente inexistente la concreta vulneración aducida por la recurrente en relación con la interpretación que se ha hecho en las resoluciones impugnadas del concepto venta del art. 214 del Código penal de la República Popular de China para considerar acreditado el requisito de la doble incriminación.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establecido que la exigencia de doble incriminación en el marco de los procedimientos de extradición forma parte, en los casos en que dicha exigencia aparezca expresamente establecida en el instrumento normativo que resulte de aplicación, del derecho a la legalidad sancionadora (así, STC 11/1983, de 21 de febrero, FJ 7, reiterado en las SSTC 102/1997, de 20 de mayo, FJ 6; 162/2000, de 12 de junio, FJ 6; 82/2006, de 13 de marzo, FJ 10, o STC 191/2009, de 28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en concreto, la STC 162/2000 afirma que, “[a]unque la extradición pasiva constituye ‘un proceso sobre otro proceso penal previamente iniciado e incluso concluido sólo que a falta de ejecución en otro Estado’ (STC 141/1998, de 29 de junio, FJ 3), nuestro Ordenamiento establece algunas exigencias de carácter material en el procedimiento extraditorio, como esta de la doble incriminación, que, a los efectos que ahora interesan, implica que el hecho sea delictivo y sancionado con determinada penalidad en las legislaciones penales del Estado requirente y del Estado requerido. El órgano competente del Estado reclamante debe considerar que un hecho ya objeto de condena es delictivo según su legislación penal (lo que resulta obvio, porque en caso contrario no habría impuesto la condena), pero, además, como garantía adicional en el procedimiento de extradición se exige que el mismo hecho por el que se solicita la entrega sea constitutivo de delito según la legislación penal del Estado requerido, lo que representa una concesión o reconocimiento de la soberanía de éste (en sentido similar, AATC 23/1997, de 27 de enero, FJ 2; y 95/1999, de 14 de abril, FJ 3)” (STC 162/2000,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STC 191/2009 afirma que “[c]iertamente no puede excluirse totalmente la posibilidad de que en un procedimiento extradicional pueda verse lesionado el derecho a la legalidad penal; por el contrario, en resoluciones anteriores de este Tribunal atinentes al procedimiento de extradición hemos atendido bajo tal nomen iuris diversos motivos de amparo, habiendo, en algunos de esos casos, otorgado el amparo por vulneración del citado derecho. No obstante ello habrá de tener lugar únicamente cuando los requisitos legales habilitantes de la entrega e indebidamente aplicados por el órgano judicial guarden una directa relación con el haz de garantías que contempla el derecho fundamental recogido en el art. 25.1 CE, tal como acontece en el caso paradigmático de la exigencia de doble incriminación (STC 162/2000, de 12 de junio, FJ 6; 82/2006, de 13 de marzo, FJ 10)”. (STC 191/2009,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contenido de la exigencia de doble incriminación, en su concreta dimensión de que el hecho sea típico de conformidad con las dos legislaciones, la STC 102/1997 afirma que “no significa tanto identidad de las normas penales de los Estados concernidos como ‘que el hecho sea delictivo y con una determinada penalidad (mínima) en las legislaciones penales del Estado requirente y del Estado requerido’ (como últimamente afirmamos en el ATC 23/1997, fundamento jurídico 2, recogiendo doctrina muy consolidada: AATC 753/1985 y 499/1988, por ejemplo)”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Específicamente, por lo que se refiere a la garantía de la legalidad (art. 25.1 CE), en relación con la interpretación de la normativa sancionadora, el Tribunal ha afirmado que la constitucionalidad de la interpretación de las normas sancionadoras depende tanto del respeto al tenor literal del enunciado normativo, como de su previsibilidad, que debe ser analizada desde las pautas axiológicas que informan nuestro texto constitucional y conforme a modelos de argumentación aceptados por la propia comunidad jurídica. Por ello, no solo vulneran el derecho fundamental a la legalidad sancionadora aquellas aplicaciones de la norma sancionadora que se sustenten en una subsunción de los hechos ajena al significado posible de los términos de la norma aplicada, sino que son constitucionalmente rechazables aquellas que conduzcan a soluciones esencialmente opuestas a la orientación material de la norma y, por ello, imprevisibles para sus destinatarios (así, STC 150/2015, de 6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queda acreditado en las actuaciones, se pone de manifiesto que el Auto de la Sección Cuarta de la Sala de lo Penal de la Audiencia Nacional de 14 de julio de 2015 establece que los hechos en virtud de los cuales las autoridades chinas reclaman la extradición de la recurrente para su enjuiciamiento son que, en su condición de gerente de una sociedad mercantil constituida en España, encargó a terceras personas con residencia en China la compra de artículos cosméticos y perfumes con marcas falsificadas, para que fueran trasladados a España para su posterior venta en este país (antecedente de hecho sexto). En el fundamento jurídico 3, y a los efectos de acreditar la exigencia de doble incriminación, se afirma que los hechos por los que se reclama a la recurrente “constituyen un delito de mercancías falsificadas de marcas registradas conforme al artículo 214 del Código Penal de la República Popular China, y se encuentran tipificados en el artículo 237 del Código Penal español que castiga el delito contra la propiedad industrial”. Por su parte, en el fundamento jurídico quinto, y en relación con los requisitos de naturaleza procesal, se afirma que concurre la “extensión de la jurisdicción del estado requirente para el conocimiento del delito por el que se pide la extradición, pues el mismo se ha cometido en su territorio”. En virtud de la alegación de la recurrente de que la conducta típica del art. 214 Código penal de China se circunscribe a la de venta de mercancías falsificadas, por lo que es atípica la conducta concretamente desarrollada en China de la compra de dichas mercancías, ya que la conducta punible se ha desarrollado en España, siendo sus Tribunales los competentes para enjuiciar los hechos, en el fundamento jurídico séptimo se afirma que “el Tribunal no comparte ese criterio. Del relato de hechos probados que nos proporciona las autoridades de la República China se infiere que, la conducta de la reclamada se enmarca en una actividad empresarial de compraventa de productos de alta gama falsificados, actividad que de forma sistemática, esta, o a través de terceros, despliega en China, constituyendo los hechos presuntamente perpetrados en este país parte fundamental del iter criminis del delito que se le atribuye, siendo sus autoridades judiciales las competentes para su persecución y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Auto del Pleno de la Sala de lo Penal de la Audiencia Nacional de 22 de septiembre de 2015, recaído en el recurso de súplica núm. 43-2015, ante la insistencia de la recurrente en negar la concurrencia de la doble incriminación, afirma, en relación con los argumentos expuestos en la resolución de instancia, en el apartado 2 del fundamento jurídico único, que “el Pleno de la Sala de lo Penal comparte esta opinión, debiéndose entender la expresión de vender mercancías como la de comerciar en general, no suponiendo ello una interpretación extensiva del tipo, sino una interpretación coherente con el bien jurídico protegido, que por que [sic] lo contrario sería reducir al absurdo el tipo penal. Por ello se entiende que el delito se ha cometido en China, sin perjuicio de los hechos cometidos en España, los cuales no han sido objeto de acusación por parte de nadie”.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debe confirmarse el criterio ya expuesto en la providencia de inadmisión ahora recurrida en súplica de que también la concreta invocación del art. 25.1 CE carece del mínimo contenido constitucional. La interpretación realizada en las resoluciones judiciales impugnadas en amparo del contenido del art. 214 Código penal de China, en el sentido de identificar el concepto vender con el de comerciar en general, que ha sido apoyada de manera unánime por la totalidad de los dieciséis Magistrados que componen la Sala de lo Penal de la Audiencia Nacional, no puede ser calificada como imprevisible o ajena a los modelos de argumentación aceptados por la propia comunidad jurídica en relación con una conducta, como la que ha dado lugar a la solicitud de extradición de la recurrente, consistente en la compra de grandes cantidades de productos falsificados en China para su exportación a España donde eran puestos a la venta.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mediante providencia de 17 de diciembre de 2015, acordó la suspensión de la ejecución de las resoluciones impugnadas en este recurso de amparo, mientras se resolvía el recurso de súplica formulado por el Ministerio Fiscal contra la decisión de inadmisión. Una vez desestimado el recurso de súplica y, por tanto, siendo firme la decisión de inadmisión de este recurso deben alzarse las medidas cautelares acordadas en la citada providencia de 17 de diciembre de 2015.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19 de noviembre de 2015 y alzar las medidas cautelares acordadas mediante providencia de 17 de diciembre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dictado en el recurso de amparo núm. 6382-2015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Sección en la que se sustenta el Auto, manifiesto mi discrepancia con la fundamentación jurídica y el fallo de este. Considero que hubiera debido ser estimado el recurso de súplica interpuesto por el Ministerio Fiscal contra la providencia de inadmisión de 19 de noviembre de 2015.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opinión mayoritaria en la que se sustenta el Auto considera que es manifiesta la inexistencia de violación del derecho a la legalidad sancionadora (art. 25.1 CE). Se argumenta que la interpretación realizada en las resoluciones judiciales impugnadas del contenido del art. 214 de Código penal de la República Popular China, en el sentido de identificar el concepto vender con el de comerciar en general, no puede ser calificada como imprevisible o ajena a los modelos de argumentación aceptados por la propia comunidad jurídica, en relación con la conducta por la que es investigada en China la recurrente, consistente en la compra de grandes cantidades de productos falsificados en China para su exportación a España donde eran puestos a la venta.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comparto esa opinión. Tal como señala el Ministerio Fiscal en su recurso de súplica, creo que en este trámite de admisibilidad no resulta debidamente fundamentado el afirmar que la invocación del art. 25.1 CE es “manifiestamente” inexistente, ya que (i) creo que la aplicación del parámetro de control constitucional del art. 25.1 CE, en lo que respecta a la interpretación y aplicación del derecho extranjero, no puede hacerse con el automatismo pretendido por la opinión mayoritaria en la que se sustenta el Auto; y (ii), en su caso, y aunque se hiciera una aplicación estricta y automática de ese parámetro de control constitucional, no creo que puede excluirse en este momento procesal que la interpretación hecha del art. 214 del Código penal de la República Popular China resulte imprevisible.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jurisprudencia constitucional ha establecido que forma parte del derecho a la legalidad sancionadora (art. 25.1 CE) la comprobación de la concurrencia de la doble incriminación en la aplicación de determinadas instituciones de cooperación jurídica internacional y, singularmente, en la extradición. Conforme a ello, y cuando así aparezca normativamente exigido, la labor del órgano judicial consistente en verificar que el hecho sea típico de conformidad con las dos legislaciones queda sometida a las estrictas exigencias de que en la interpretación de las normas penales de ambos Estados se respete la previsibilidad.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interpretación del Derecho penal español para comprobar el requisito de doble incriminación en los procesos de extradición las exigencias de previsibilidad son similares a las requeridas para la aplicación del mismo precepto sustantivo en un proceso penal. Ahora bien, por lo que se refiere a la labor interpretativa de una norma que no forma parte del ordenamiento jurídico español, como es en este caso el art. 214 del Código penal de la República Popular China, el control de constitucionalidad que impone el art. 25.1 CE requiere (i) la determinación del concreto contenido semántico del precepto; y (ii) su ámbito de aplicación.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Para la traducción o determinación del significado de la norma extranjera, en el presente caso ni siquiera resulta preciso acudir, como hace el Ministerio Fiscal en su recurso de súplica, a la versión inglesa del Código penal chino. Ha sido la representación de la propia República Popular China la que, dando cumplimiento a la obligatoriedad de la entrega de la documentación extradicional debidamente traducida, hace constar que el art. 214 del Código penal de la República Popular China lo que tipifica es la conducta de “vender”. En concreto, la traducción al castellano del precepto penal que se alega infringido por la recurrente que ha aportado el estado requirente es esta: “aquellos que vendieren las mercancías a conciencia de que fuesen de marcas registradas falsificadas, si implicaren una cuantía relativamente grande del monto de la venta, serán sentenciados a una prisión temporal…”. Esto es, el verbo utilizado en el art. 214 del Código penal chino es “vender”.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Una cuestión distinta es la conclusión interpretativa sustentada en las resoluciones judiciales impugnadas en lo referente a considerar que el concepto “vender” se identifica en ese concreto precepto del Código Penal chino con “comerciar”. La opinión mayoritaria en la que se sustenta el auto considera que lo que queda concernido es la constitucionalidad de una mera labor de interpretación judicial que, aun tratándose de Derecho extranjero, pueden legítimamente desarrollar los órganos judiciales españoles con las mismas limitaciones constitucionales que respecto de la interpretación de cualquier otra norma de Derecho nacional.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comparto esta opinión. De conformidad con el art. 281.2 de la Ley de enjuiciamiento civil la vigencia y el contenido del Derecho extranjero son objeto de prueba y, por tanto, son labores excluidas de la mera capacidad interpretativa del órgano judicial. A partir de ello, si se identifica que el contenido no solo es la literalidad de la norma sino también la interpretación y aplicación que de la misma se hace por parte de los órganos judiciales competentes, entonces el problema constitucional sería diferente y se vincularía no a una mera comprobación de que se ha cumplido con el deber constitucional de motivación en la interpretación y aplicación del Derecho extranjero, sino a la comprobación de cuál es la actividad probatoria desarrollada y la valoración que sobre la misma se ha establecido para permitir al órgano judicial llegar a esa conclusión interpretativa. Lo que queda acreditado en las actuaciones es que, a pesar de las dudas que pueden subsistir sobre la corrección de la interpretación de identificar “vender” con “comerciar”, en el proceso extradicional no se ha desarrollado ninguna actividad probatoria para verificar si esa idea defendida por las resoluciones impugnadas de que en el contexto de este concreto precepto vender significa comerciar es la interpretación sustentada por los órganos judiciales chinos. Esto es, ni a petición de la representación del Estado requirente ni del Ministerio Fiscal ni de oficio se ha desarrollado no la más mínima labor probatoria para acreditar que conforme a la jurisprudencia de ese país el art. 214 del Código penal de la República Popular China se interpreta en el sentido asumido por las resoluciones judiciales ahora impugnadas en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desde esta perspectiva, que considero la más correcta y respetuosa tanto con la jurisprudencia como con la doctrina sobre la interpretación y la aplicación del Derecho extranjero en el marco de los procesos judiciales españoles, en este trámite de admisibilidad no puede excluirse el suficiente contenido constitucional de esta invocación.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Al margen de lo anterior y con independencia de que se trate de la interpretación de Derecho penal extranjero, tampoco desde la perspectiva asumida por la opinión mayoritaria en la que se sustenta el auto puede afirmarse que la invocación del art. 25.1 CE carezca del necesario contenido constitucional. La conclusión de que el concepto “vender” es asimilado al de “comerciar en general” y, por tanto, que la conducta de la recurrente consistente en la compra de estos productos falsificados para su envío a España con el fin de su posterior venta queda subsumida en el tipo penal del art. 241 del Código penal de la República Popular China, que sanciona el vender mercancías de marcas registradas falsificadas, supone una interpretación que, desde cualquier parámetro interpretativo al uso, no puede excluirse —en este trámite de admisibilidad— que pudiera resultar imprevisible para los destinatarios de las normas.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desde una perspectiva estrictamente lingüística, el diccionario de la Real Academia Española establece, en la primera acepción del verbo “vender”, que es “traspasar a alguien por el precio convenido la propiedad de lo que se posee”; y, en su segunda acepción, “exponer u ofrecer al público los géneros o mercancías para quien las quiera comprar”. En cualquiera de ambas acepciones que, además, se corresponden con el uso de este verbo en el lenguaje común, no puede afirmarse que la conducta de la recurrente consistente en pagar para que se le traspase la propiedad o aceptar la oferta de mercancías mediante su compra, sea una conducta de venta o el comportamiento propio de una vendedora. Del mismo modo, desde una perspectiva jurídica, el contrato de compraventa se define en el art. 1445 del Código civil como el acto por el que uno de los contratantes se obliga a entregar una cosa determinada —acto de venta realizado por el vendedor— y el otro a pagar por ella un precio cierto, en dinero o signo que lo represente —acto de compra realizado por el comprador—; de modo tal que, sin infringir elementales reglas de comprensión jurídica, no puede defenderse que ejecuta acciones de venta aquel que lo que hace es pagar el dinero para que le sea entregada una cosa determinada. Igualmente, desde una perspectiva sistemática, también es concluyente que el Código penal español diferencia en muchos de sus ilícitos penales entre las conductas de venta y compra, sancionando solo las primeras, de modo tal que para incluir conductas de compra con fines de comercialización o exportación utiliza junto con la expresión “vender” otras referidas a la comercialización, como son importar, exportar, distribuir, difundir, etc.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también desde esta perspectiva no podría excluirse en este trámite de admisibilidad el suficiente contenido constitucional de esta invocación del art. 25.1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A la apreciación de que no cabe excluir el necesario contenido constitucional en esta vulneración —bien porque la labor interpretativa se haya desarrollado de manera voluntarista, imprevisible y ajena a los términos de la norma aplicable en China; bien porque sea una conclusión que se ha alcanzado sin desarrollar ningún esfuerzo de verificación de cual sea la interpretación jurisprudencial en China respecto de este precepto—, se une en este caso la existencia de una especial trascendencia constitucional de la demanda. Esta circunstancia radicaría en que es un supuesto que plantea un problema o una faceta de un derecho fundamental susceptible de amparo sobre el que no hay doctrina del Tribunal Constitucional o que, al menos, daría la oportunidad de aclarar y perfilar su doctrina respecto del principio a la legalidad sancionadora en el marco de los procedimientos de extradición [STC 155/2009, FJ 2, supuestos a) y b)].</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la cuestión sobre si las decisiones sobre la interpretación del Derecho extranjero, a los efectos de la doble incriminación, implican una labor hermenéutica de una norma jurídica, sometida al parámetro constitucional de motivación y aplicación de las normas; o, por el contrario, implican una labor de valoración probatoria en relación con el contenido del Derecho extranjero, sometida al parámetro constitucional sobre motivación de los hechos, resulta polémica para la doctrina que ha llegado a considerar que la prueba del Derecho extranjero es un tertium genus entre una eventual naturaleza fáctica y otra normativa, y no está todavía resuelta en la jurisprudencia constitucional. Es cierto que el Tribunal ha establecido que en este tipo de supuestos de extradición los órganos judiciales españoles e incluso el propio Tribunal Constitucional no pueden sustituir a los órganos de interpretación de los países de referencia. En concreto, este Tribunal ha afirmado que “como es obvio, ni los órganos judiciales de la extradición, ni este Tribunal Constitucional, pueden suplir en este caso al Tribunal Constitucional de la República del Perú en la interpretación de la legislación penal peruana, que no cabe tildar, a la vista de los textos legales concernidos, de irrazonada o arbitraria” (STC 82/2006, de 13 de marzo, FJ 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Ahora bien, ese pronunciamiento no establece una doctrina constitucional indubitada respecto de este particular, por lo que esta demanda daría la oportunidad a este Tribunal, dentro de su cometido más estricto, de fijar una regla constitucional de conducta para los órganos judiciales en relación con los supuestos en que exista una controversia interpretativa respecto del ámbito de aplicación de una norma penal extranjera que afecte al cumplimiento de la exigencia de doble incriminación. Especialmente importante sería aclarar por el alcance general que tiene para la globalidad de los procedimientos de extradición (i) si la determinación del ámbito de aplicación de una norma penal extranjera es una labor de interpretación normativa o de valoración probatoria; (ii) si, asumiendo que sea una cuestión de interpretación normativa, el parámetro aplicable es el más estricto de la legalidad penal (art. 25.1 CE) o el ordinario del art. 24.1 CE; (iii) en cualquiera de los dos casos y tomando en consideración la necesidad, como sucede en este supuesto, en que deban interpretarse normas de países por completo ajenos a nuestra cultura, si los parámetros de previsibilidad o razonabilidad lo deben ser en relación con las reglas interpretativas imperantes en España, en el país solicitante o conforme a reglas mínimas propias de la comunidad jurídica internacional; y (iv) si, asumiendo que sea una cuestión de valoración probatoria, la carga probatoria corresponde a las autoridades del país solicitante, a las defensa o cabe también ser iniciada de oficio por el órgano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considero que el recurso de súplica formulado por el Ministerio Fiscal debía haber sido estimado por no ser manifiesta la inexistencia de las lesiones constitucionales aducidas en la demanda de amparo y, además, debía haberse acordado su admisión a trámite habida cuenta de que se cumplen el resto de los requisitos necesarios, singularmente, su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veinticuatro de mayo de dos mil dieciséis.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