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26 de mayo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6 de abril de 2015, don Luis Enrique Lamadriz Torres, representado por el Procurador de los Tribunales don Luis Fernando Pozas Osset y asistido por el Letrado don Lucas Boloix Torralba, interpuso recurso de amparo contra la Sentencia de la Sección Primera de la Sala de lo Contencioso-Administrativo del Tribunal Superior de Justicia de la Comunidad Valenciana, de 10 de febrero de 2015, dictada en el rollo de apelación núm. 95-2013, que confirmó la dictada por el Juzgado de lo Contencioso-Administrativo núm. 2 de Castellón, de 4 de octubre de 2012, en el procedimiento abreviado núm. 193-2012.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resolución de 2 de febrero de 2012 se decretó la expulsión del territorio nacional del recurrente, con prohibición de entrada durante cinco años, al amparo de lo dispuesto en el art. 57.2 de la Ley Orgánica 4/2000, de 11 de enero, sobre derechos y libertades de los extranjeros en España y su integración social, tras resultar acreditado que había sido condenado en sentencia firme a un año de prisión. Interpuso recurso contencioso-administrativo, dictándose las Sentencias citadas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queja principal del recurrente es la falta de proporcionalidad y motivación de la decisión administrativa, que no tuvo en cuenta su arraigo en España y sus singulares circunstancias personales. Extiende el reproche a las resoluciones judiciales, con invocación del art. 24.1 CE en su vertiente de derecho a la motivación. Mediante otrosí, en la demanda de amparo y conforme al art. 56.2 de la Ley Orgánica del Tribunal Constitucional (LOTC), solicita la suspensión de las resoluciones impugnadas y, consiguientemente, de la expulsión del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admitida a trámite la demanda de amparo, la Sección Cuarta del Tribunal Constitucional, mediante providencia de 9 de mayo de 2016, acordó la apertura de la presente pieza separada de suspensión y, a tenor del art. 56 LOTC, concedió un plazo común de tres días a la parte recurrente y al Ministerio Fiscal para que alegasen lo que estimaran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mediante escrito que tuvo entrada en este Tribunal el 19 de mayo de 2016, reiteró su petición de suspensión con base en los argumentos ya esgrimidos en la demanda de amparo, señaladamente por la frustración de la finalidad perseguida en el recurso caso de rechazarse la solicitud, pues podría determinar la ejecución de la orden de expulsión con los efectos que acarrea para quien, como él, tiene arraigo en España y viene residiendo en nuestro país desde hace muchos años, careciendo en cambio de arraigo en su país de origen en el que fue víctima en su momento de un desastre natural. Ampara su petición en los elementos indicados y en la jurisprudencia constitucional que cita (AATC 82/1999, de 12 de abril, 356/2008, de 10 de noviembre, o 156/2010, de 15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Comparte el mismo criterio el Ministerio Fiscal, según alega en escrito que tuvo entrada en el Tribunal el día 23 de mayo de 2016. A su parecer, con invocación de los mismos Autos a los que alude la parte recurrente, procede la concesión de la suspensión para evitar que la efectividad de las resoluciones judiciales recurridas pueda provocar la salida del territorio nacional del demandante, convirtiendo en ilusoria la eventual reparación sucesiva de la lesión que se aduce.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facultad de este Tribunal Constitucional de adoptar medidas cautelares en los procesos de amparo, reconocida en el art. 56 de la Ley Orgánica del Tribunal Constitucional,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 doctrina que se ha reiterado recientemente, entre tantos otros, por ejemplo, en el ATC 90/2015, de 25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lo cual significa que se ha de apreciar la pérdida de la finalidad del recurso de amparo para que aquélla deba adoptarse. Por ello, la regla general es la improcedencia de la suspensión, salvo en los casos en los que se acredite de forma fehaciente tanto el carácter irreparable del perjuicio para los derechos fundamentales, como la pérdida de la finalidad del amparo en caso de mantenerse la ejecución de la resolución recurrida (por todos, ATC 47/2016, de 29 de febrero,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expulsión de extranjeros del territorio nacional, este Tribunal ha señalado con carácter general que la ejecución de las resoluciones que la acuerdan “podría convertir en ilusoria una eventual concesión del amparo, porque, por un lado, lo que se trataría de impedir con el recurso ya habría tenido lugar y, por otro, pese a que una eventual concesión del amparo pudiera tener como consecuencia la posibilidad de que el recurrente regresase a nuestro país, los perjuicios de carácter personal, económico y familiar serían de imposible resarcimiento”, como señalan los dos Autos citados en el fundamento jurídico anterior, entre tantos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en aplicación de lo expuesto, y conforme también solicita el Ministerio Fiscal, resulta procedente acordar la suspensión de la expulsión del territorio nacional del recurrente, atendiendo al conjunto de circunstancias concurrentes, toda vez que tampoco se aprecia que dicha suspensión pueda originar una perturbación grave de los intereses generales ni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expuestos, y sin que ello suponga prejuzgar la cuestión de fondo planteada, conducen a conceder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Conceder la suspensión de las resoluciones judiciales impugnadas y de la resolución que decreta la expulsión del recurrente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