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6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30 de diciembre de 2015, Bankia representado por el Procurador de los Tribunales don Francisco José Abajo Abril, interpuso recurso de amparo contra Sentencia de la Sección Primera de la Audiencia Provincial de Segovia en recurso de apelación 287-2015 contra la dictada por el Juzgado de Primera Instancia núm. 5 de Segovia en juicio verbal 395-2015.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Sr. Abajo Abril, por escrito presentado el 7 de abril de 2016, estando el amparo pendiente de resolver sobre su admisión o inadmisión, manifiesta que desiste del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11 de abril de 2016 se dio traslado al Ministerio Fiscal para que alegara lo que estimara oportuno en relación con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dictamen que tuvo entrada en el Tribunal el 25 de abril de 2016, no se opuso a la aprobación del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del recurso de amparo figura la del desistimiento, prevista en el art. 86.1 de la Ley Orgánica de este Tribunal (LOTC), y a la que es de aplicación supletoria la legislación procesal ordinaria (art. 80 LOTC), que la recoge en los arts. 19.1 y 20.2 y 3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fórmula y decisión de la parte recurrente aparece revestida de los requisitos legales. Por otro lado, no se aprecia perjuicio de parte ni daño para el interés general o público. Es procedente, pues, sancionar afirmativamente esa voluntad de desistir.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del recurso de amparo a Bankia, S.A.,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