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17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abril de 2016 tuvo entrada en el Registro General de este Tribunal escrito firmado por el Procurador de los Tribunales don José Manuel Villasante García, en nombre y representación de don Jean-Pierre Ollivier, en virtud del cual interpuso recurso de amparo contra el Auto de 17 de junio de 2015, dictado por el Juzgado de Primera Instancia núm. 18 de Palma de Mallorca en la pieza de nulidad núm. 5-2015, y por el que se rechazó tal petición de nulidad de actuaciones promovida por el aquí demandante de amparo en el procedimiento de ejecución hipotecaria núm. 556-2014. Dirigió, asimismo, el suplico de la demanda de amparo frente a la diligencia de ordenación de 25 de febrero de 2015, por la que en el citado procedimiento de ejecución hipotecaria se había acordado, mediante comunicación edictal, requerir de pago al ahora recurrente de amparo, interesando su nulidad, así como la de todas las actuaciones posteriores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acaba de exponer, frente al demandante de amparo se siguió un proceso de ejecución hipotecaria a instancias de la entidad Caixabank, S.A., en el que, de conformidad con lo dispuesto en el art. 227 de la Ley de enjuiciamiento civil y aduciendo indefensión, el demandante de amparo vino a interesar la nulidad de lo hasta entonces actuado, con retroacción del procedimiento de ejecución al momento anterior al dictado del Auto de 12 de noviembre de 2014, con el fin de que se le pudiera notificar el despacho de ejecución y ejercitar, en consecuencia, su derecho de defensa. Denunciaba que el emplazamiento se realizó por edictos en el inmueble objeto de ejecución, sito en Deiá (Baleares), no obstante tenerse constancia tanto por la parte ejecutante, como por el propio Juzgado, a través de la escritura de préstamo hipotecario que sirve ahora de título ejecutivo, del domicilio donde el ejecutado tiene su residencia fija desde 1991 (Andorra la Vella); circunstancia ésta que hubiera permitido una notificación personal, en línea con lo expuesto en la STC 122/2013, de 20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17 de junio de 2015 desestimó la solicitud de nulidad considerando que no se había producido vulneración alguna del derecho del recurrente, al haberse dado cumplimiento a lo dispuesto en el art. 686 de la Ley de enjuiciamiento civil, pues: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escritura de préstamo hipotecario, de 8 de octubre de 2007, en su estipulación o pacto décimo, apartado 2, trataba las posibles acciones judiciales ante eventuales incumplimientos y así, en concreto, se señaló como domicilio para la práctica de los requerimientos y notificaciones… el de la finca hipotecada. La finca hipotecada se encuentra en el término municipal de Deiá, donde consta que se han llevado a cabo las diligencias de notificación, por más que en el momento de la formalización pública de la operación crediticia constara otro domicilio del prestatario (ahora ejecutado) en el Principado de Andorra. La facultad de notificar algún cambio de vecindad a los efectos de poder fijar un domicilio para notificaciones de cara a la entidad prestamista (ahora ejecutante) no fue realizada por quien sostiene una nulidad procesal, que como se viene desgranando resulta inexistente. Y resulta indiferente que la alegada ‘vecindad’ sea previa a la fecha de la escritura del préstamo con garantía hipotecaria, tal y como se pretende documentar con la aportación de un contrato de inquilinato.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Mayor rechazo merece el argumento relativo a que era exigible al Juzgado una mayor diligencia a la hora de llevar a cabo la notificación personal del ejecutado… puesto que la tramitación procesal se adecúa a las prescripciones legales de carácter procesal que, a su vez, se inspiran en el principio básico de esta jurisdicción civil, el principio dispositivo o de rogación. De acogerse alguna de las razones expuestas por el ejecutado, sería tanto como admitir la circunstancia de quedar al arbitrio de alguna de las partes procesales los tiempos y exigencias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denuncia en su recurso la vulneración del derecho a la tutela judicial efectiva sin indefensión (art. 24.1 CE). A su juicio, el razonamiento del Juzgado descarta la obligación del órgano judicial de averiguar el domicilio real y efectivo de la parte demandada, en contra de lo dispuesto en la STC 122/2013, de 20 de mayo, pese a su expresa invocación ante el Juzgado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solicita, por medio de otrosí, que se deje “en suspenso el referido procedimiento civil, ya que, en caso de continuarse el mismo y celebrarse subasta de la finca hipotecada, la adquisición de la misma por un tercero de buena fe podría quedar amparada por el artículo 34 de la Ley Hipotecaria y, en tal caso, no podría restituirse la propiedad de dicha finca”, ocasionándose de este modo al demandante daños y perjuicios de imposible o muy difícil reparación si finalmente le fuera concedido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20 de septiembre de 2016, la Sección Tercera de este Tribunal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Acordó, al propio tiempo, dirigir atenta comunicación al Juzgado de Primera Instancia núm. 18 de Palma de Mallorca, con el fin de que, en plazo que no exceda de diez días, emplazara a quienes hubieran sido parte en el procedimiento de ejecución hipotecaria (pieza de nulidad), con excepción de la parte recurrente en amparo. Finalmente, la Sección decidió la formación de pieza separada para la tramitación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Abierta dicha pieza separada, por diligencia de igual fecha —20 de septiembre de 2016— la Sección acordó, conforme determina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29 de septiembre de 2016, el Procurador don José Manuel Villasante García, en nombre y representación de don Jean-Pierre Ollivier, formuló sus alegaciones. A lo ya expuesto en la demanda, vino a añadir, como dato sobrevenido susceptible de valoración, que ante la petición de venta en pública subasta de la finca objeto de ejecución interesada por la entidad ejecutante y ante la fijación de fecha para su efectiva celebración mediante decreto de 26 de abril de 2016, el demandante de amparo interesó su suspensión en el procedimiento de origen, a lo que el Juzgado accedió por diligencia de ordenación de 28 de abril de 2016, en la que textualmente se dice: “estando pendiente de resolver el recurso de amparo interpuesto por la parte ejecutada, acuerdo dejar en suspenso la convocatoria de subasta en tanto no se dicte la oportuna resolución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demandante que la suspensión decretada en la instancia lo es a los solos efectos de que este Tribunal Constitucional se pronuncie, a su vez, respecto de la presente petición cautelar. Insiste, a tal fin, en la pertinencia y necesidad de la medida, dada la irreparabilidad del daño que habría de deparar una subasta de la finca que permitiera la adquisición del inmueble por tercero de buena fe, deviniendo en tal caso ineficaz cualquier resolución estimatoria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29 de septiembre de 2016, se muestra favorable a la suspensión interesada por el demandante. Tras exponer los antecedentes del caso, recuerda el contenido del art. 56.1 LOTC y de diversos pronunciamientos de este Tribunal sobre la causación de perjuicios que puedan hacer perder al amparo su finalidad (entre ellos, ATC 227/1999, de 27 de octubre, FFJJ 2 y 3), así como sobre el carácter excepcional de la medida provisional de suspensión y su aplicación restrictiva, al comportar cierta perturbación del interés general consistente en mantener la eficacia de las resoluciones judiciales firmes (por todos, AATC 169/1995, 419/1997 y 182/1998). Estima, ello no obstante, que en el supuesto de autos, tratándose de una resolución de carácter patrimonial, pueden llegar a verse afectados futuros derechos de terceros adquirentes de buena fe, por lo que, de acuerdo con la doctrina de este Tribunal (ATC 74/2013), resulta procedente acceder a la suspensión “para evitar situaciones cuya reversibilidad pueda devenir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demandante de amparo ha denunciado la indefensión que dice haber sufrido al no habérsele notificado correctamente por el Juzgado de Primera Instancia núm. 18 de Palma de Mallorca el procedimiento de ejecución hipotecaria núm. 556-2014. Por este motivo, ha solicitado la suspensión cautelar de los efectos del Auto de 17 de junio de 2015, que rechazó su petición de nulidad —tramitada como pieza núm. 5-2015—, ya que, según ha razonado, de no acordarse la suspensión de su ejecución y efectos aparejados a ella, podrían producirse actos de adjudicación sobre el bien inmueble de su propiedad y consolidarse una situación difícilmente reversible. El Ministerio Fiscal se muestra favorable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es buena muestra el ATC 74/2013, de 8 de abril, así como las resoluciones que en él se citan, este Tribunal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doctrina constitucional, y sin prejuzgar la decisión de fondo del recurso, procede acordar la suspensión solicitada. En otro caso, podría llegar a materializarse la transmisión del dominio del bien inmueble controvertido, sobre el que la entidad ejecutante Caixabank, S.A., ha solicitado la celebración de subasta (tal y como se desprende del escrito de 20 de abril de 2016, aportado por el demandante a esta pieza separada de suspensión), habiendo accedido a ello el Juzgado de Primera Instancia ejecutante por decreto de 26 de abril de 2016, sin perjuicio de la puntual paralización ordenada en la diligencia de ordenación que se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accederse a la suspensión y proseguir el procedimiento ejecutivo de origen, podría crearse, en efecto, una situación difícilmente reversible que hiciera perder al recurso de amparo su finalidad. Por lo demás, atendidas las circunstancias efectivamente acreditadas, no se advierte en este momento procesal que la suspensión de la ejecución entrañe una perturbación grave a un interés constitucionalmente protegido o a los derechos fundamentales o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recurrida y de toda actuación judicial sucesiva que pueda tener como efecto la adjudicación a terceros de los inmuebles controvertidos.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