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354-2014, promovido por Endesa, S.A., representada por el Procurador de los Tribunales don Manuel Lanchares Perlado y asistida por los Abogados don Félix Plasencia Sánchez, don José Antonio Rodríguez Álvarez y don Jaime Almenar Belenguer, contra: i) la resolución de la Comisión Nacional de Energía, de 12 de abril de 2012, por la que se practicó la liquidación provisional núm. 2-2012 de las actividades reguladas del sector eléctrico; ii) la Sentencia de la Sala de lo Contencioso-Administrativo de la Audiencia Nacional, de 30 de enero de 2013, por la que se desestimó el recurso contencioso-administrativo núm. 9-2012 interpuesto contra la citada resolución; y iii) la Sentencia de la Sala de lo Contencioso-Administrativo del Tribunal Supremo (Pleno), de 18 de noviembre de 2013, que desestimó el recurso de casación núm. 848-2013 presentado contra la Sentencia de instancia. Han comparecido y formulado alegaciones el Abogado del Estado, el Ministerio Fiscal y la entidad Endesa, S.A.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enero de 2014, el Procurador de los Tribunales don Manuel Lanchares Perlado, en nombre y representación de Endesa, S.A., interpuso un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Endesa, S.A., interpuso un recurso contencioso-administrativo por el procedimiento especial para la protección de los derechos fundamentales contra la resolución del Consejo de la Comisión Nacional de Energía que aprobó la liquidación provisional núm. 2 de las actividades reguladas del sector eléctrico del ejercicio 2012 (en lo sucesivo, liquidación 2-2012), por la que se establecía una obligación de abono de 93.031.339 € a cargo de Endesa, S.A., en concepto de financiación del déficit de tarifa, conforme a lo previsto en la disposición adicional vigésima primera de la Ley 54/1997, de 27 de noviembre, del sector eléctrico (LSE, en lo que sigue). La demandante sostenía que, al imponer la carga de financiación del déficit de tarifa exclusivamente a las cinco empresas del sector que señala la norma (entre ellas Endesa, S.A.), se lesiona el derecho a la igualdad ante la ley, reconocido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dicho recurso ante la Sección Cuarta de la Sala de lo Contencioso-Administrativo de la Audiencia Nacional con el núm. 9-2012, fue desestimado por la Sentencia de 30 de enero de 2013, declarando la resolución impugnada ajustada a Derecho, al compartir las razones esgrimidas por la Administración, según la cual la selección de las cinco empresas financiadoras se justificaba en el hecho de haber sido perceptoras en el pasado de los costes de transición 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referida Sentencia la sociedad mercantil demandante interpuso un recurso de casación (núm. 848-2013), aduciendo la vulneración del art. 14 CE y de los principios de imprescriptibilidad, irrenunciabilidad, indisponibilidad y permanencia de los derechos fundamentales y, en particular,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18 de noviembre de 2013 el Pleno de la Sala de lo Contencioso-Administrativo del Tribunal Supremo desestimó el recurso de casación. Acogiendo la argumentación de la Sentencia de instancia, compartida por el Abogado del Estado y el Ministerio Fiscal, la Sala razonó que la obligación impuesta a la recurrente, junto a otras cuatro empresas eléctricas, se fundamentaba en que se trata de operadores dominantes del sector, que fue precisamente el motivo de que se les reconociera en su momento el derecho a percibir la compensación por los costes de transición a la competencia. En contra de lo alegado por la empresa, según la cual la justificación aportada por la Administración y el Ministerio público para la selección de un número determinado de entidades obligadas era fruto de una elaboración ex post facto, el Tribunal Supremo consideró justificada la decisión del legislador, debido a la posición singular de Endesa, S.A., en el sector eléctrico español y, en particular, en la coincidencia en los porcentajes con los que se benefició de las compensaciones por los costes de transición a la competencia, una vez tenidas en cuenta las operaciones que le llevaron a hacerse con otras empresas que también accedieron en su día a las mismas. A lo anterior la Sala añade que las empresas obligadas no son ajenas a la creación del déficit, que es consecuencia de un sistema del que se han beneficiado; que son grupos de empresas integrados verticalmente, con presencia en todos los subsectores de actividad; y que su singular posición va acompañada de una especial solvencia y capacidad para asumir la obligación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un único motivo: la vulneración del derecho de la sociedad demandante a la igualdad de trato sin discriminación (art. 14 CE), achacable a la liquidación 2-2012; ahora bien, como este acto administrativo se dictó en aplicación de la disposición adicional vigésima primera LSE, en la redacción vigente en aquel momento, entiende que la infracción deriva directamente de la inconstitucionalidad de dicha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recurso se justifica por la demandante con apoyo en cuatro razones: i) la vulneración del derecho fundamental que se denuncia proviene de la ley, en particular, de la disposición adicional vigésima primera LSE; ii) el asunto suscitado trasciende del caso concreto y plantea una cuestión jurídica de relevante y general repercusión social o económica; iii) el recurso plantea nuevos problemas o facetas de un derecho fundamental susceptible de amparo; y iv) la contradicción de la doctrina que ahora se recurre con la expuesta por la Sentencia del Tribunal Supremo de 7 de febrero de 2012, sobre 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argumenta que la infracción del art. 14 CE se produce porque se impone una obligación extremadamente onerosa a un grupo de empresas de forma singularizada y nominativa, sin que tal selección de destinatarios concretos y no de otros en situación análoga presente una justificación objetiva y razonable. En este sentido, invoca como términos de comparación válidos que demostrarían la discriminación: i) por un lado, el resto de empresas del sector eléctrico, en particular las empresas titulares de activos de régimen especial, porque, a su juicio, si la financiación del déficit no se asume por los presupuestos ni por los ciudadanos, debe recaer sobre el conjunto del sector, y no únicamente sobre las cinco entidades seleccionadas, resultando, además, que las productoras de régimen especial son especialmente responsables, por las primas que reciben, del déficit tarifario; y ii) en segundo lugar, otros sectores empresariales ajenos al eléctrico, ya que el déficit se ha producido por una decisión de política económica y su financiación puede hacerse descansar también sobre otros sectores que emplean la electricidad en sus procesos productivos y que se benefician de la contención de la tarifa eléctrica, que está en el origen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demandante, no hay una justificación que explique la imposición a determinadas empresas de la obligación de financiar el déficit de la tarifa eléctrica. No la hay en la ley, ni en sus antecedentes, y la que se ha aducido por la Administración, aunque acogida por los tribunales que han confirmado la resolución administrativa, no es objetiva ni razonable. En particular, la circunstancia de haber percibido los costes de transición a la competencia no puede fundamentar la obligación analizada, puesto que estos eran una compensación legalmente reconocida por la liberalización del mercado eléctrico y, por tanto, sin relación con déficit de tarifa. En todo caso, esa hipotética relación desapareció en 2005, cuando se empezó a designar nominativamente a las empresas obligadas, y, sin ningún género de dudas, a partir de 2006, puesto que el Real Decreto-ley 7/2006 suprimió el régimen de los costes de transición a la competencia. Tampoco puede admitirse que las obligadas se hayan seleccionado por ser causantes del déficit, pues este es consecuencia de la decisión legislativa de no trasladar a los consumidores el coste real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también estima infundadas el resto de razones aducidas. Así, en cuanto a la condición de operador dominante, afirma que se trata de un concepto legal, que lleva aparejadas determinadas restricciones, pero que no guarda relación alguna con el déficit ni con su financiación, siendo además una condición mutable. En cuanto al hecho de tratarse de un grupo integrado verticalmente, no se comprende por qué razón le cualifica para financiar el déficit frente a otros operadores no integrados. Por último, tampoco el criterio de solvencia es una razón válida, pues en 2011 había 36 empresas productoras de electricidad y solo se elige a cinco, a pesar de que entre el resto hay entidades españolas e internacionales de reconocida solvencia; y en otros subsectores, como el transporte, operan entidades como Red Eléctrica Española, S.A., que cotiza en el IBEX 35, y que también podría haber quedado sujeta a la carga de financiar 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porcentajes en que resultan obligadas no se corresponden ni con el peso en el sector, ni con su solvencia económica general, prueba de lo cual es que son prácticamente los mismos desde 2005. En particular, el porcentaje exigido a Endesa, S.A. es absolutamente desproporcionado en relación con su peso en el mercado, sin que tampoco se pueda justificar por participación en los costes de transición a la competencia puesto que el último porcentaje de reparto de estos atribuía a la entidad una cuota del 47,12 por 100, mientras que su porcentaje de financiación del déficit asciende al 44,16 por 100. En definitiva, según la empresa, todas las razones aducidas son un “puro ejercicio de voluntarismo”.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añade a lo anterior que su derecho a la igualdad también debe interpretarse a la luz del ordenamiento comunitario, con arreglo al cual la imposición de la carga de financiar el déficit es una obligación de servicio público de la Directiva 2009/72 (art. 3.2), lo que impide otorgar un trato diferenciado en situaciones comparables. Al hilo de este enfoque comunitario, abunda en el argumento de que la percepción de los costes de transición a la competencia en el pasado no puede fundamentar la imposición de esta obligación para el futuro. Agrega que la carga se impone a empresas como Gas Natural SDG, S.A., que no percibió costes de transición a la competencia, y, por contra, no se exige a Elcogás, S.A., que sí los cobró. Por último, alega que lo razonable en todo caso habría sido que el importe de la carga hubiera estado limitado a la cuantía de los costes de transición a la competencia recibidos.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ni aisladamente ni en su conjunto, las razones expuestas sirven para justificar la desigualdad de trato, por todo lo cual solicita que se anule la liquidación 2-2012 impugnada y se reconozca vulnerado el art. 14 CE, previa elevación de la cuestión al Pleno, con base en lo dispuesto en el art. 55.2 de la Ley Orgánica del Tribunal Constitucional (LOTC) y planteando, en caso de que el Tribunal considerara dudosa la interpretación del principio comunitario de igualdad de trato, una cuestión prejudicial de conformidad con el art. 267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noviembre de 2014 la Sala Segunda de este Tribunal acordó la admisión a trámite del recurso de amparo por lo que, a tenor de lo dispuesto en el art. 51 LOTC, ordenó requerir atentamente al Pleno de la Sala de lo Contencioso-Administrativo del Tribunal Supremo y a la Sección Cuarta de la Sala de lo Contencioso-Administrativo de la Audiencia Nacional para que en el plazo de diez días remitieran, respectivamente, certificación o copia adverada de las actuaciones correspondientes al recurso de casación núm. 848-2013 y al recurso contencioso-administrativo núm. 9-2012, tramitado por el procedimiento especial para la protección de los derechos fundamentales, interesándose al propio tiempo el emplazamiento de quienes hubieran sido parte en ese procedimiento, excepto la parte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Tercera de la Sala Segunda de 26 de diciembre de 2014 se tuvo por personado y parte al Abogado del Estado y a los Procuradores doña Pilar Irribarren Cavalle en nombre y representación de Gas Natural SDG, S.A., y don Carlos Mairata Laviña en nombre y representación de Hidroeléctrica del Cantábrico, S.A. Asimismo, se tuvieron por recibidos los testimonios de las actuaciones remitidos por los correspondientes órganos judiciales y se procedió, conforme a lo establecido en el art. 52.1 LOTC, a dar vista de las actuaciones por plazo común de veinte días a las partes y al Ministerio Fiscal,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Endesa, S.A., presentó su escrito de alegaciones en este Tribunal el 29 de enero de 2015, ratificándose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dio cumplimiento al trámite de alegaciones conferido mediante escrito registrado en este Tribunal también el 29 de enero de 2015, por el que solicita que se desestime el recurso de amparo, por las razones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Administración del Estado comienza señalando que, aunque la demandante critica la Sentencia impugnada por irracional y arbitraria, no invoca el art. 24.1 CE, lo que pone en evidencia que, a pesar de su argumentación, simplemente la considera no correcta, pero no carente de racionalidad. Y, tras recordar que las personas jurídicas son también titulares de derechos fundamentales y, en particular, del derecho a la igualdad del art. 14 CE, matiza que, no obstante, existe una diferencia de intensidad en relación con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a valorar los términos de comparación ofrecidos por la recurrente, como elemento esencial para apreciar la vulneración del principio de igualdad, no sin antes recordar que la Administración ha negado la existencia de tales términos, tanto en el proceso ante la Audiencia Nacional como en la casación ante el Tribunal Supremo. En este sentido, considera que la apelación al resto de empresas de otros sectores económicos es una alegación genérica, que la doctrina constitucional niega como válida; en cuanto a las empresas eléctricas de régimen especial, alega que con su invocación la demandante está realmente criticando la opción legislativa sobre la financiación del déficit, pero sin recoger un término de comparación, a lo que añade que, desde 2010, la carga de reestructuración del sector eléctrico ha recaído de manera intensa en las empresas sujetas al régimen especial; de igual modo, entiende que la referencia al resto de empresas del sector eléctrico es genérica, sin concretar una situación singular equiparable a la de la demandante (empresa dominante, que cobró costes de transición a la competencia y es actor principal del sector eléctrico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a falta de un término válido de comparación, el juicio de igualdad se ha de llevar a cabo desde la perspectiva de la interdicción de la arbitrariedad. Y en este punto recuerda que nos encontramos ante una norma con rango legal, que goza de presunción de constitucionalidad, de acuerdo con la doctrina constitucional que cita. En este sentido, la medida enjuiciada debe enmarcarse en un entorno de grave crisis económica que obligó a dictar numerosos reales decretos-leyes para hacer frente al creciente déficit tarifario.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argumentar la justificación objetiva y razonable de la medida controvertida, se remite a la posición mantenida por la Abogacía del Estado ante la Audiencia Nacional y el Tribunal Supremo, que ha sido acogida por ambos tribunales, por lo que no cabe sino insistir en el razonamiento de la Sentencia del Pleno de la Sala de lo Contencioso-Administrativo de 18 de noviembre de 2013, aquí impugnada, y en los rasgos de Endesa, S.A., y de las otras cuatro obligadas que la Sentencia identifica como distintivos, sin olvidar, como hace el Tribunal Supremo, que “aunque el legislador hubiera podido optar por otra forma de afrontarlo [el déficit de tarifa]”, la decisión política plasmada en la disposición adicional vigésima primera LSE descansa en unos hechos indubitados.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invocación del derecho comunitario y a la calificación de la obligación impuesta como una obligación de servicio público a los efectos del art. 3.2 de la Directiva 2009/72, recuerda que el Tribunal Constitucional ha declarado reiteradamente que las cuestiones de aplicación del Derecho comunitario corresponden a los tribunales ordinarios, valorando esta aplicación solo desde la perspectiva del art. 24.1 CE, como se refleja en la STC 145/2012. Por tanto, el Tribunal solo podría cuestionar la Sentencia impugnada desde el punto de vista del Derecho de la Unión Europea si su razonamiento hubiera incurrido en arbitrariedad o irracionalidad,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el 6 de febrero de 2015 su escrito de alegaciones en el que, tras exponer los antecedentes del asunto, analiza el contenido de la vulneración constitucional denunciada por la sociedad demandante de amparo, que debe enmarcarse en el art. 43 LOTC, puesto que se causó originariamente por un acto de la Administración, que las Sentencias impugnadas no han hecho sino confirmar.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tenor literal de la disposición adicional vigésima primera LSE y traer a colación la doctrina constitucional sobre el principio de igualdad, se centra en los dos términos de comparación invocados por la recurrente en amparo, a saber: i) las demás empresas que operan en el sector eléctrico; y ii) las empresas que actúan en otros sectores económicos distintos del eléctrico. Comienza rechazando de plano el segundo de los términos propuestos, pues no es posible aceptar que empresas cuya actividad es ajena a este sector puedan considerarse iguales u homogéneas a la recurrente. En cuanto a las restantes empresas eléctricas, la demanda no acredita la identidad de situación con Endesa, S.A., siendo así que, por ejemplo y por lo que concierne a las productoras eléctricas de régimen especial, estas ya han sido objeto de otras medidas legales encaminadas a superar el déficit estructural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pone de manifiesto, con cita de la STC 49/2008, que no es exigible al legislador que incorpore a la norma la explicación de los motivos tenidos en cuenta para su aprobación, siempre que estos se puedan identificar. Y examina, a renglón seguido, la justificación de la medida, encuadrándola previamente en el contexto de la regulación del mercado eléctrico y, en concreto, del reconocimiento de los costes de transición a la competencia. Así, enfatiza la conexión directa que existió en un primer momento entre la percepción de estos derechos y la obligación de cubrir el déficit, vínculo que quedó implícito en la regulación posterior, materializada en la redacción dada a la disposición adicional vigésima primera LSE por el Real Decreto-ley 6/2010, de 9 de abril, aplicable al caso enjuiciado. Añade que las diferencias entre el listado original de obligados y porcentajes y los recogidos en la disposición adicional vigésima primera LSE se explican por las operaciones societarias llevadas a cabo entre las empresas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la Fiscal aborda las razones aducidas por la Administración para justificar la imposición de la carga controvertida, y que el Tribunal Supremo hace suyas. Descarta, en primer lugar, que sean factores elaborados ex novo, sino que derivan de datos reales y objetivos, que resultan de la propia sucesión de las normas reguladoras del sector eléctrico, particularmente de las referidas a la percepción de los costes de transición a la competencia. La condición de beneficiaria de estas compensaciones sirve como justificación objetiva aun habiéndose suprimido este régimen, debido a las retribuciones adicionales obtenidas por la recurrente y el resto de empresas obligadas. Y, al igual que en el régimen de los costes de transición a la competencia, la obligación de financiación se impone a las sociedades matrices de cada grupo empresarial, lo que ratifica la conexión entre ambas normativas. Además, este factor de singularización y el resto de los indicados deben valorarse en su conjunto, y no de forma aislada, como pretende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proporcionalidad de la medida, el Ministerio público destaca que no se trata de una obligación de pago definitiva, sino de un empréstito forzoso, con derecho a reembolso y al abono de un interés de mercado, pudiéndose además movilizar el préstamo mediante su titulización. No niega la Fiscal que el legislador pudiera haber optado por un sistema de financiación distinto e igualmente razonable, pero la decisión adoptada se enmarca en el margen de configuración que le corresponde. Y, en cuanto a la proporcionalidad de los porcentajes, la demandante no identifica el término de comparación con el que el porcentaje exigido daría lugar a una discriminación, debiendo reiterarse que las posibles diferencias entre los aplicados a los costes de transición a la competencia y los previstos en la disposición adicional vigésima primera LSE se deben a los procesos de reestructuración empresarial llevados a cabo. Es llamativa —puntualiza—, la referencia que hace la demandante a que el último porcentaje que le fue asignado en los costes de transición a la competencia fue el 47,12 por 100 mientras que la parte de déficit que se le imputa es de 44,16 por 100 (de lo que cabría colegir que en términos relativos ha sido mayor el beneficio derivado de las compensaciones que la carga de financiación reclamada). Y concluye, con base en lo expuesto, que existe una justificación objetiva, razonable y proporcionada del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el Ministerio Fiscal refiriéndose a la invocación del Derecho de la Unión Europea que hace la demanda, recordando que no puede considerarse un canon autónomo de constitucionalidad, para negar, a continuación, que nos hallemos ante una obligación de servicio público en el sentido de la Directiva 2009/72 sino ante una prestación patrimonial pública no tributaria de las previstas en el art. 31.3 CE, por lo que no cabe invocar la Sentencia del Tribunal Supremo de 7 de febrero de 2012 referida al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concluye interesando que, sin acceder a la solicitud de la demandante de que se eleve la decisión al Pleno, con base en el art. 55.2 LOTC, ni de que se plantee una cuestión prejudicial ante el Tratado de funcionamiento de la Unión Europea, se dicte Sentencia por la que se desestime el recurso de amparo interpuesto por la citada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29 de febrero de 2016 la Sala Segunda de este Tribunal acordó conceder a las partes personadas y al Ministerio Fiscal un plazo común de diez días, con arreglo a lo dispuesto en el art. 84 LOTC, para alegar lo que estimaran pertinente sobre la eventual pérdida de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trámite conferido, mediante escrito de 28 de marzo de 2016, el Abogado del Estado manifestó que coincidía con la pérdida de objeto del recurso, al haberse satisfecho la cantidad exigida a la recurrente, tal y como se acreditaba con la documentación que aportaba de la que se desprendía que la entidad recuperó las cantidades aportadas en el propio ejercicio 2012, por lo que no se devengaron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Endesa, S.A., se manifestó en contra de la pérdida de objeto, por medio de un escrito registrado el 29 de marzo de 2016, en el que argumentaba que, si bien había recuperado las cantidades anticipadas, no se había producido la reparación de los derechos vulnerados ni la satisfacción de los perjuicios soportados como consecuencia del préstamo forzoso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el Auto 97/2016, de 4 de mayo, la Sala Segunda acordó estimar justificada la causa de abstención formulada por el Magistrado don Ricardo Enríquez Sancho, apartándole definitivamente del conocimiento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el Auto de la Sala Segunda 100/2016, de 9 de mayo, se declaró que la efectiva recuperación de las cantidades anticipadas al sistema eléctrico no permitía concluir que el recurso de amparo hubiera perdido su objeto, puesto que lo solicitado por la recurrente era que se declarase inconstitucional la obligación que se le impuso, no el reconocimiento de su derecho a recuperar el préstamo forzoso realizado, que es inherente a tal figura y que, por otra parte, no resultaba controvertido; a lo que se añadía que la entidad recurrente había alegado que, como consecuencia del préstamo forzoso que le fue exigido, había experimentado una serie de perjuicios, cuya indemnización pretendía reclamar. Por todo lo cual, se acordó que el recurso no había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noviembre de 2016,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del Consejo de la Comisión Nacional de Energía que aprobó la liquidación 2-2012, de las actividades reguladas del sector eléctrico del ejercicio 2012, así como las resoluciones judiciales que la han confirmado, han vulnerado el derecho de Endesa, S.A., a la igualdad (art. 14 CE), en la medida en que la sociedad ha sido designada de forma nominativa para cubrir en un determinado porcentaje el denominado “déficit de tarifa”, sin que resulte justificado que se le imponga esta carga a ella y no a otras empresas que se encuentran, a su juicio, en una situación comparable.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Abogacía del Estado como el Ministerio Fiscal interesan la desestimación del amparo, puesto que la norma con base en la cual se dicta la resolución administrativa se fundamenta en la situación singular de la demandante: empresa dominante, que cobró costes de transición a la competencia y es actor principal del sector eléctrico nacional, lo que constituye una justificación objetiva y razonable a efectos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 50.1 b) de la Ley Orgánica del Tribunal Constitucional (LOTC) y, por consiguiente, de orden público procesal (entre otras, STC 113/2012, de 24 de mayo, FJ 2, y las allí citadas), exigencias de certeza y buena administración de justicia (STEDH de 20 de enero de 2015, caso Arribas Antón c. España, § 46) obligan a explicitar el cumplimiento del mismo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varias razones por las que el recurso revestiría la especial trascendencia constitucional exigible, entre ellas, que la vulneración denunciada proviene de la ley, que es uno de los supuestos específicamente contemplados en el fundamento jurídico 2 c), de nuestra STC 155/2009, de 25 de junio (que “la vulneración del derecho fundamental que se denuncia provenga de la ley o de otra disposición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una cuestión no controvertida que la liquidación impugnada se ha dictado en estricto cumplimiento de lo previsto en la disposición adicional vigésima primera de la Ley 54/1997, de 27 de noviembre, del sector eléctrico (LSE), por lo que la vulneración del art. 14 CE en que hubiera podido incurrir el acto administrativo derivaría directa y necesariamente de la citada norma legal, que es, cabalmente, el supuesto a que se refiere la STC 155/2009, FJ 2 c). Por consiguiente, el recurso reviste, efectivamente,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recurso, debemos comenzar recordando que la disposición adicional vigésima primera LSE, bajo el encabezamiento “Suficiencia de los peajes de acceso y desajustes de ingresos de las actividades reguladas del sector eléctrico”, establece un método para financiar los posibles desajustes en las liquidaciones de las actividades reguladas, lo que comúnmente se viene conociendo como “déficit de tarifa”, entendido en sentido amplio como la diferencia entre los costes del sistema eléctrico y los ingresos obtenidos a partir de los precios regulados por el Estado. Pues bien, en la redacción aplicable ratione temporis (dada por el Real Decreto-ley 6/2010, de 9 de abril), la citada norma dispone en su apartado 2 (referido a la cobertura de los desajustes hasta 1 de enero de 2013, que es lo relevante, puesto que se analiza una liquidación correspondiente a 2012), en lo que ahora estrictamente interesa,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por la aparición de desajustes temporales, el fondo acumulado en la cuenta específica a que se refiere el Real Decreto 2017/1997, de 26 de diciembre, abierta en régimen de depósito arrojara un saldo negativo, éste será liquidado por la Comisión Nacional de Energía en las liquidaciones mensuales aplicando los siguientes porcentajes de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S.A. ………….................... 35,01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 6,08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S.A. ………….......................  44,16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España, S.L. …............................  1,00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 13,75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porcentajes de reparto podrán ser modificados por real decreto, cuando se produzcan desinversiones significativas que afecten a las empresas en la actividad de distribución, cuando se produzcan cambios estructurales sustanciales en la actividad de generación que así lo justifiquen o como consecuencia de inversiones o desinversiones significativas en activos de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tendrán derecho a recuperar las aportaciones por este concepto en las 14 liquidaciones correspondientes al periodo en que se modifiquen las tarifas de acceso para el reconocimiento de dicho desajuste temporal. Las cantidades aportadas por este concepto serán devueltas reconociéndose un tipo de interés en condiciones equivalentes a las del mercado que se fijará en la orden por la que se aprueban los peajes.”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partes coinciden en calificar la obligación impuesta a las cinco entidades relacionadas como una “prestación patrimonial de carácter público” que hemos caracterizado como aquellas impuestas coactivamente, esto es, derivadas de una obligación de pago establecida unilateralmente por el poder público “sin el concurso de la voluntad del sujeto llamado a satisfacerla”, siempre que, al mismo tiempo, “la prestación, con independencia de la condición pública o privada de quien la percibe, tenga una inequívoca finalidad de interés público” (SSTC 185/1995, de 14 de diciembre, FJ 3; 182/1997, de 28 de octubre, FJ 15; 233/1999, de 16 de diciembre, FJ 33; 83/2014, de 29 de mayo, FJ 3, y 167/2016,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prestación impuesta consiste en un préstamo forzoso, en virtud del cual las mencionadas compañías deben efectuar un desembolso, que se cuantifica aplicando los porcentajes de reparto establecidos al saldo negativo de la cuenta de liquidación de los costes e ingresos regulados del sistema, teniendo “derecho a recuperar las aportaciones por este concepto … [que] serán devueltas reconociéndose un tipo de interés en condiciones equivalentes a las del mercado que se fijará en la orden por la que se aprueban los peajes”, tal y como disponen el apartado 2, último párrafo, y el apartado 5 de la disposición adicional vigésima primera LSE. El apartado 5, párrafo primero, de la citada norma añade que “[l]os déficit del sistema de liquidaciones eléctrico generarán derechos de cobro consistentes en el derecho a percibir un importe de la facturación mensual por peajes de acceso de los años sucesivos hasta su satisfacción” y que tales derechos de cobro “se podrán ceder a un fondo de titulización que se constituirá a estos efectos y se denominará Fondo de Titulización del Déficit del Sistema Eléctrico”. De hecho, en el incidente abierto sobre la posible pérdida sobrevenida del objeto de este proceso el Abogado del Estado acreditó que los derechos de cobro de la liquidación 2-2012 habían sido cedidos al citado fondo, por lo que la entidad recurrente ya había recuperado su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nuestra reciente STC 167/2016, de 6 de octubre, mediante la que se ha resuelto la cuestión de inconstitucionalidad núm. 6599-2013, referida a la disposición adicional tercera del Real Decreto-ley 14/2010, de 23 de diciembre, por el que se establecen medidas urgentes para la corrección del déficit tarifario del sector eléctrico, hemos analizado la obligación impuesta a 11 compañías generadoras de electricidad de asumir, en un determinado porcentaje, el coste de los planes de ahorro y eficiencia energética de los años 2011, 2012 y 2013. Dicha norma es similar a la que aquí resulta controvertida, tanto por su naturaleza (una prestación patrimonial de carácter público no tributaria), como por sus destinatarios (un número determinado de empresas del sector eléctrico), su carácter temporal y el contexto normativo en que se enmarca (la adopción de medidas para afrontar el déficit de la tarifa eléctrica), diferenciándose tan solo por el contenido de tal prestación, pues la prevista en el Real Decreto-ley 14/2010 es una contribución definitiva, mientras que la disposición adicional vigésima primera LSE regula un préstamo al sistema eléctrico y, por consiguiente, con derecho de reembolso.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la obligación examinada en la STC 167/2016, la carga de anticipar unas cantidades para equilibrar el desajuste entre los costes e ingresos regulados debe situarse en el marco de la relación económica que los sujetos obligados mantienen con el Estado dentro de un sector necesaria e intensamente regulado como el eléctrico, status del que pueden surgir tanto derechos como cargas que asumir. A este equilibrio entre derechos y cargas también nos hemos referido al analizar otras actividades reguladas, como en la STC 83/2014, de 29 de mayo, en la que declaramos ajustada a la Constitución la deducción sobre la facturación mensual de las oficinas de farmacia introducida por el Real Decreto-ley 5/2000,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similitud entre la disposición adicional tercera del Real Decreto-ley 14/2010 y la disposición adicional vigésima primera LSE, interesa destacar que en la STC 167/2016 nuestro análisis se ha enfocado también desde el canon del art. 14 CE, por lo que, sin perder de vista la distinta naturaleza y efectos de cada proceso constitucional, las circunstancias aquí concurrentes hacen extensible, mutatis mutandis, el razonamiento contenido en dicha Sentencia al juicio de igualdad que debemos abordar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 anterior, procede recordar que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luego para que sea constitucionalmente lícita la diferencia de trato, las consecuencias jurídicas que se deriven de tal distinción deben ser proporcionadas a la finalidad perseguida, de suerte que se eviten resultados excesivamente gravosos o desmedidos (entre muchas otras, SSTC 22/1981, de 2 de julio, FJ 3; 255/2004, de 23 de diciembre, FJ 4; 10/2005, de 20 de enero, FJ 5; 295/2006, de 11 de octubre, FJ 5; 83/2014, de 29 de mayo, FJ 7, y 167/2016,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nuestra doctrina sobre el art. 14 CE recién sintetizada, y comoquiera que lo propio del juicio de igualdad es su carácter relacional (por todas, STC 71/2016, de 14 de abril, FJ 3), para comprobar si la disposición adicional vigésima primera LSE observa dicho precepto, es preciso, en primer lugar, concretar si las situaciones que se pretenden comparar son iguales (juicio de comparabilidad); en segundo término, y una vez razonado que las situaciones son comparables, si concurre una finalidad objetiva y razonable que legitime el trato desigual de esas situaciones (juicio de razonabilidad, en clave de legitimidad y funcionalidad para el fin perseguido); y, por último, si las consecuencias jurídicas a que conduce la disparidad de trato son razonables, por existir una relación de proporcionalidad entre el medio empleado y la finalidad perseguida, evitando resultados especialmente gravosos o desmedidos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iter valorativo apuntado debe partir de la premisa, no discutida por las partes que han comparecido en este proceso, de que las cinco entidades incluidas en la norma que se juzga son —considerando las operaciones de concentración producidas y los subsiguientes cambios de denominación— los operadores tradicionales del mercado eléctrico español. Fueron estos operadores (entre ellos, la recurrente), que habían estado desarrollando su actividad bajo el denominado “marco legal estable”, los que, ante la necesidad de adaptar el ordenamiento español a la Directiva 96/92/CE, sobre normas comunes para el mercado interior de la electricidad, impulsaron a través de la “Asociación Española de la Industria Eléctrica”, junto con el Ministerio de Industria y Energía, el “Protocolo para el establecimiento de una nueva regulación del sistema eléctrico nacional” suscrito el 11 de diciembre de 1996, y que precedió a la Ley del sector eléctrico de 27 de noviembre de 1997. Esta ley avanzó en la liberalización del sector para su adaptación al Derecho de la Unión Europea, proceso en el marco del cual se reconoció a tales operadores el derecho a percibir los costes de transición a la competencia, según el régimen incorporado a la disposición transitoria sexta de la ley. La exposición de motivos de la Ley del sector eléctrico (norma que estuvo en vigor, aun con múltiples modificaciones, hasta su sustitución por la Ley 24/2013, de 26 de diciembre) resalta la importancia del referido acuerdo y de sus firmantes, cuando afirma: “El citado Protocolo, carente de la eficacia normativa de toda norma general, supuso la concreción de un diseño complejo y global de transición de un sistema intervenido y burocratizado a un sistema más libre de funcionamiento del sector. Supuso, asimismo, el acuerdo con los principales agentes económicos de la industria sobre una profunda modificación del sistema retributivo hasta ahora vigente y sobre el escalonamiento progresivo de las distintas etapas conducentes a la liberalización del mercado. El Protocolo se configuró, en definitiva, para que, considerado en toda su extensión, fuese elemento inspirador de un profundo proceso de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obligación de financiar el déficit tarifario que se exige a las empresas mencionadas en la disposición adicional vigésima primera LSE entraña una diferencia de tratamiento frente a otros sujetos. Ahora bien, para valorar una posible transgresión del art. 14 CE es preciso dilucidar antes si tales sujetos constituyen un término válido de comparación respecto de las sociedades afectadas por la prestación. En este sentido, los términos de comparación propuestos por la demandante son: a) las empresas que operan en otros sectores de actividad económica; y b) las empresas del sector eléctrico que operan en otros subsectores, como el transporte, así como el resto de empresas generadoras aparte de las cinco obligadas.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comparación con las empresas de otros sectores económicos debe rechazarse a limine, toda vez que la disposición adicional vigésima primera LSE es una norma propia de la regulación del sector eléctrico que hace frente a un problema específico del mismo, como es el desajuste entre sus ingresos y gastos regulados. Tal y como hemos indicado en la STC 167/2016, FJ 3, “el margen de configuración del legislador debe comprender la posibilidad de disponer, con base en criterios técnicos, económicos y de oportunidad, qué costes se imputan al sistema eléctrico (en última instancia, a los consumidores, que deberán hacer frente a ellos, antes o después), a las empresas del sector o de un subsector en particular, y a los presupuestos generales del Estado, es decir, tomar la decisión política sobre la distribución del esfuerzo necesario para contener el déficit de tarifa”, conclusión que en tal pronunciamiento predicamos de las medidas para reducir el déficit, pero que es plenamente aplicable a la financiación del existente. No corresponde a este Tribunal valorar desde un punto de vista político o técnico el acierto de una determinada medida encaminada a reducir el déficit, como era la disposición adicional tercera del Real Decreto-ley 14/2010, o a financiar el ya producido, caso de la disposición adicional vigésima primera LSE, pero parece indiscutible que los operadores de otros sectores económicos no se hallan en una situación comparable a la de las empresas seleccionadas por la norma en cuestión, ya que estas actúan en un sector fuertemente intervenido como el eléctrico, con sujeción a un régimen definido de derechos y cargas, definido en la Ley del sector eléctrico y en la normativa de desarrollo, que no las sitúa en una posición asimilable, a los efectos que aquí importan, a la de otros ámbitos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Sugiere también Endesa, S.A., la comparación con otras empresas del sector eléctrico, ya sea la transportista (Red Eléctrica de España, S.A.), ya sean otras generadoras aparte de las cinco empresas financiadoras, aludiendo, sobre todo, a las titulares de instalaciones de régimen especial, perceptoras de primas que han contribuido al incremento del déficit, pese a lo cual han resultado excluidas de la carga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resto de empresas del sector eléctrico, como las dedicadas al transporte, debemos señalar, en primer lugar, que se trata de una actividad sometida a un régimen jurídico y económico diferente al de la producción, que constituye la principal actividad de los grupos a cuyas matrices se impone la prestación patrimonial de la disposición adicional vigésima primera LSE. Buena prueba de lo cual es que la Ley del sector eléctrico dedica un título independiente para ella (título VI “Transporte de energía eléctrica”), atendiendo a sus características diferenciales y a la necesidad de mayor regulación, dada su condición de monopolio natural, frente a la producción, subsector para el que, en contraste, se impulsa un régimen de competencia que no es posible en aquél. Por tanto, el régimen económico de las actividades de producción y de transporte no es igual, lo que impide la comparación entre los sujetos de uno y otro subsector.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al subsector de la producción eléctrica, en especial las productoras de régimen especial, se debe partir de que en la Ley del sector eléctrico, aquí aplicable, el régimen ordinario de producción, a grandes rasgos, era el correspondiente a las instalaciones de generación que emplean tecnologías convencionales, es decir, el parque tradicional de producción eléctrica en España (que corresponde, en esencia, a las cinco empresas de la disposición adicional vigésima primera LSE), mientras que, de acuerdo con el art. 27.1 LSE, el régimen especial era fundamentalmente el aplicable a las instalaciones de producción con energías renovables, generación con residuos y cogeneración. En este sentido, tanto la Abogacía del Estado como el Ministerio Fiscal sostienen que tampoco en este caso nos hallamos ante un término válido de comparación, puesto que la producción de electricidad en régimen ordinario y en régimen especial tienen una diferente ordenación en la Ley del sector eléctrico (capítulos I y II, respectivamente, del título IV), de acuerdo con criterios de política económica y medioambiental, que justifican un sistema de retribución propio para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dicho razonamiento, toda vez que el distinto régimen económico legalmente establecido impide considerar que ambas formas de producción se encuentren en situaciones iguales en los términos del art. 14 CE, de modo que los derechos y cargas no tienen que ser necesariamente los mismos para ambas modalidades. Dos ejemplos ilustrativos de las diferencias económicas entre ellas son el reconocimiento a las principales empresas de régimen ordinario de los llamados “pagos por capacidad”, con base en el art. 16.1 c) LSE, así como de los costes de transición a la competencia, cuya percepción, como enseguida comprobaremos, singulariza definitivamente a las empresas obligadas en virtud de la disposición adicional vigésima primera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circunstancia de que los distintos agentes del sector con los que pretende compararse la recurrente operan bajo un régimen económico diferente al suyo, se suma el hecho de que una medida como la que estamos enjuiciando debe enmarcarse en el conjunto de disposiciones aprobadas para evitar que el déficit de tarifa pusiera en riesgo la sostenibilidad del sistema eléctrico. A las numerosas medidas adoptadas con tal finalidad hemos tenido ocasión de referirnos con cierto detalle en la ya citada STC 167/2016, FJ 3, llegando a la conclusión de que se “han dispuesto ajustes para todos los sujetos implicados en el sector eléctrico, tanto las empresas de los distintos subsectores que lo integran (productoras, transportistas, distribuidoras, comercializadoras, etc.), como para los consumidores y el conjunto de los contribuyentes”, todo ello de acuerdo con la idea de esfuerzo compartido —no necesariamente idéntico—, que se puede encontrar en las exposiciones de motivos de las normas aprobadas para reducir el déficit tarifario, como los Reales Decretos-leyes 14/2010, de 23 de diciembre; 20/2012, de 13 de julio, y 9/2013, de 12 de julio,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 través de la sucesión de normas dirigidas a controlar y financiar el déficit de tarifa se han arbitrado medidas que han afectado a otros subsectores del sistema, minorando sus retribuciones (por ejemplo, para el caso del transporte, por los Reales Decretos-leyes 20/2012 y 9/2013, y para las instalaciones de generación en régimen especial, mediante los Reales Decretos-leyes 14/2010 y 9/2013); así como a los consumidores, con aumentos de tarifa, y al conjunto de los contribuyentes, imputando ciertas partidas de costes a los presupuestos generales del Estado o creando tributos específicos sobre el sector (Ley 15/2012,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que la aplicación de una concreta medida, como la que aquí se examina, tan solo a los grupos eléctricos dedicados principalmente a la producción de electricidad en régimen ordinario, y no a las empresas dedicadas a otras actividades eléctricas o a las productoras que utilizan de forma primordial energías renovables y otras propias del régimen especial, no introduce una diferencia entre situaciones que puedan calificarse iguales, al menos por dos razones: i) el diferente régimen jurídico y económico aplicable a cada actividad, lo que conlleva distintos derechos y cargas, siguiendo la terminología de la STC 83/2014, de 29 de mayo, FJ 3, y ii) el necesario enfoque de esta norma en el contexto de las adoptadas para contener el déficit de tarifa eléctrica, de suerte que a cada tipo de actividad se le han exigido ajustes, siendo legítimo que el legislador tenga en cuenta la diferente contribución de cada subsector para imponer solo a ciertos grupos la financiación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existe vulneración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núm. 354-2014 interpuesto por Endesa,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