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7461-2014, promovido por doña Teresa Hualde Juvera, representada por la Procuradora de los Tribunales doña María Luisa Maestre Gómez y asistida por el Abogado don Miguel Jesús Sánchez Iniesta, contra el Auto de 20 de noviembre de 2014 del Juzgado Central de lo Contencioso-Administrativo núm. 12, desestimatorio del incidente de nulidad de actuaciones promovido contra la Sentencia de 27 de febrero de 2014, dictada en el procedimiento abreviado núm. 781-2012, desestimatoria del recurso contencioso-administrativo presentado contra la resolución de 13 de junio de 2011 de la Subdirectora General de Recursos, Reclamaciones y Relaciones con la Justicia del Ministerio de Economía y Hacienda, esta a su vez desestimatoria del recurso de alzada formalizado contra la resolución de 8 de marzo de 2011 del Director General de Costes de Personal y Pensiones Públicas, que impuso a la demandante una sanción de 18.120 € según lo establecido en la disposición final primera 3.1, letra a) de la Ley 21/1986, de 23 de diciembre, de presupuestos generales del Estado para el año 1987, y en el artículo 47 y 49.3 del Real Decreto 1678/1987. Ha sido parte el Abogado del Estado, en la representación que ostenta, y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diciembre de 2014, la Procuradora de los Tribunales doña María Luisa Maestre Gómez, en nombre y representación de doña Teresa Hualde Juvera, interpuso recurso de amparo contra las resoluciones judiciales y administrativas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constitucional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28 de junio de 2010, el Servicio de inspección de habilitados de la Dirección General de Costes de Personal y Pensiones Públicas del Ministerio de Economía y Hacienda comunicó a la demandante de amparo que, como habilitada de clases pasivas, sería sometida a inspección a efectos de verificar el cumplimiento de la obligación contenida en la disposición final primera del Real Decreto 193/2010, sobre sistemas de pago en haberes de clases pasivas. Dicha norma, bajo la rúbrica “desglose de transferencias”, obliga al habilitado a transferir íntegramente a sus mandantes el importe recibido de la Administración en concepto de pensión, de modo que las “comisiones, gastos de gestión o impuestos derivados del ejercicio de la actividad profesional” que el habilitado deba repercutir a su mandante sean cobrados “de forma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inspección fue realizada, sobre una muestra de cuarenta pensionistas, en relación con las nóminas de los meses de abril, mayo y junio de 2010. En el curso de la misma, el servicio de inspección comprobó que, en los tres meses citados, el abono de las pensiones de los mandantes incluidos en el muestreo se había efectuado con aplicación simultánea de deducciones derivadas de la actividad profesional de la recurrente de amparo. Por esta razón, en fecha 29 de noviembre de 2010, el servicio emitió informe definitivo de inspección desfavorable que dio lugar a que la Dirección General acordara, en fecha 30 de noviembre de 2010, la iniciación de un expediente sancionador contra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seno del expediente sancionador incoado, el órgano instructor formuló, en fecha 2 de febrero de 2011, una propuesta de resolución en la que, considerando probado que la recurrente de amparo había incumplido la obligación de abonar a sus mandantes el importe íntegro de su pensión “sin practicar deducción alguna”, consideró aplicable la infracción prevista en el art. 47 a) del Real Decreto 1678/1987. Dicha norma prevé como conducta sancionable el “incumplimiento concreto” por parte del habilitado de su deber de “prestar los datos e informaciones que le sean requeridos por la Administración respecto de sus mandantes y colaborar en el sentido que ésta le requiera en relación con los fines de interés público en materia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Ante la referida propuesta, la ahora demandante de amparo formuló alegaciones el 23 de febrero de 2011 poniendo de manifiesto, como alegación sexta, la falta de tipicidad de la conducta, pues, según razonaba, el deber de colaborar a que alude el artículo 47 a) “debe entenderse … necesariamente vinculado o subordinado al deber de informar sobre los mandantes … bajo la fórmula de requerimiento previo … pues de su redacción no podría desprenderse una suerte de deber genérico de colaborar con los fines de interés público en materia de clases pasivas, desvinculado del de informar, sin riesgo de caer en un vaciamiento del principio de tipicidad”. Por ello, la sanción impuesta con base a dicho precepto incumplía, según afirmaba la recurrente con cita de la doctrina general del Tribunal Constitucional y de la jurisprudencia de la Sala de lo Contencioso-Administrativo del Tribunal Supremo, las exigencias de certeza (lex certa) derivadas del derecho a la legalidad sancionadora previsto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resolución de 8 de marzo de 2011, el Director General de Costes de Personal y Pensiones Públicas declaró a la recurrente de amparo responsable de “una conducta administrativamente sancionable, al incumplir la obligación de colaborar en el sentido requerido por la Administración en relación con los fines de interés público en materia de Clases Pasivas, tipificada como falta grave, según lo establecido en la disposición final primera 3.1, letra a) de la Ley 21/1986 y en el artículo 47 y 49.3 del Real Decreto 1678/1987”, imponiéndole en consecuencia “la sanción de multa por importe de 18.120 €, de acuerdo con lo previsto en el art. 49.3 del Real Decreto 1678/1987”. Según razona la resolución, aunque la infracción aplicada tiene carácter leve, en la instrucción del procedimiento “se ha apreciado la existencia de intencionalidad en el incumplimiento de la citada obligación”, ya que la misma irregularidad se detecta “en la totalidad de la muestra inspeccionada, 40 pensionistas, y en los tres meses analizados, lo que permite apreciar una conducta deliberada, voluntaria y reiterada”, razón por la que la infracción recibe la calificación de grave y se impone una multa de 151 € por cada pensionista (alcanzando el importe total de 18.120 €).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 la demandante de amparo sobre la falta de tipicidad de los hechos, la resolución considera que “el incumplimiento de la obligación de abonar a sus mandantes el importe íntegro de la pensión o pensiones de Clases Pasivas que le haya sido pagado por la Administración, sin practicar deducción alguna, supone, de hecho, incumplir una norma y, por tanto, la obligación de colaborar con la Administración en un fin de interés público en materia de Clases Pasivas, y, de derecho, es una conducta tipificada legalmente como antijurídica”. En este sentido, se afirma que “dado que con la nueva regulación se pretende proteger un interés público, que es el del ciudadano perceptor de Clases Pasivas, la habilitada, incumpliendo esa norma de carácter imperativo y dotada de presunción de legalidad, está incurriendo en un incumplimiento de la obligación de ‘colaborar en el sentido que la Administración le requiera en relación con los fines de interés público en materia de Clases Pasivas’, recogido como conducta sancionable tanto en la ley 21/1986, como en el Real Decreto 1678/1987”.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resolución acaba señalando que “[s]i se atendiera a las alegaciones de la habilitada, resultaría que el incumplimiento de una norma sobre cómo los habilitados deben abonar las prestaciones de Clases Pasivas quedaría impune por no estar expresamente tipificada. Sin embargo, no existe mayor obligación de colaborar con los fines de interés público en materia de Clases Pasivas que cumplir las normas que se dictan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demandante de amparo interpuso el 30 de marzo de 2011 recurso de alzada frente a la resolución sancionadora, alegando nuevamente, entre otros motivos de queja, la falta de tipicidad de la conducta. Dicho recurso fue desestimado en resolución de 13 de junio de 2011 de la Subdirectora General de Recursos, Reclamaciones y Relaciones con la Justicia del Ministerio de Economía y Hacienda. En la misma se confirman los argumentos incluidos en la resolución impugnada, a los que se añade ahora que el Tribunal Constitucional ha señalado que la ley administrativa sancionadora puede utilizar “conceptos abiertos” y remitirse a “normas de rango inferior para una ulterior concreción”. Se alude específicamente, como ejemplo significativo de ello, a que el Tribunal Supremo ha avalado “la sanción impuesta por el Ministerio de Justicia a un notario por una infracción tipificada en el art. 348.4 del Reglamento Notarial como ‘competencia ilícita reiterada en cualquiera de sus formas’, sin describir éstas”. La resolución de alzada concluye, por ello, que “nos encontramos con un incumplimiento claro y reiterado de la obligación de colaborar con la Administración en un fin de interés público en materia de Clases Pasivas, cual es el desglose de las transferencias en los términos del Real Decreto 193/2010, por lo que se trata de un supuesto típico y antijurídico”.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21 de junio de 2011 tuvo entrada en el registro general del Tribunal Superior de Justicia de Madrid el recurso contencioso-administrativo interpuesto por la actora. Tras diversas vicisitudes derivadas de la aplicación de las normas de reparto, el asunto fue, finalmente, turnado a la Sección Décima de la Sala de lo Contencioso-Administrativo de dicho tribunal, que, en Auto de 9 de marzo de 2012 inadmitió el recurso al considerarse objetivamente incompetente para conocer del mismo, remitiendo las actuaciones al Decanato de los Juzgados Centrales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Turnado el asunto al Juzgado Central de lo Contencioso-Administrativo núm. 12 (en adelante, el Juzgado), el recurso interpuesto por la demandante fue admitido mediante decreto de 21 de enero de 2013 de la letrada de la Administración de Justicia, dándosele la tramitación de procedimiento abreviado (núm. 781-2012). En fecha 27 de febrero de 2014, el Juzgado dictó Sentencia desestimatoria. En ella, el órgano judicial realiza una larga cita de los fundamentos de la Sentencia de la Sala de lo Contencioso-Administrativo del Tribunal Supremo de 16 de mayo de 2011, en la que se considera que el Real Decreto 193/2010 y, en particular, su regulación del llamado “desglose de transferencias” (disposición final primera) resultan conforme a Derecho. Una vez concluida la extensa reproducción literal del aludido pronunciamiento del alto tribunal, la Sentencia impugnada se limita a señalar que “[p]or todo lo expuesto se desestima la demanda contra esa resolución sancionadora pues de lo actuado en el procedimiento ha quedado evidenciada que la misma es conforme con los principios de legalidad, tipicidad y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de amparo promovió incidente de nulidad de actuaciones entendiendo que la Sentencia dictada incurría en incongruencia omisiva por haberse limitado a resolver acerca de la correcta interpretación legal de la cláusula de “desglose de transferencias” de la disposición final primera del Real Decreto 193/2010, sin realizar, en cambio, ninguna consideración relativa a la tipicidad de la conducta sancionada al amparo del art. 47 a) del Real Decreto 1678/1987. Para la recurrente, la Sentencia “omitiendo cualquier manifestación al respecto, no tiene en consideración que en el ámbito del derecho sancionador, las exigencias de tipicidad, vinculadas a la legalidad, pero sobre todo a la seguridad jurídica, requieren máxima precisión en la determinación del tipo de infracción; algo que, como es obvio, no se da en este caso”. Asimismo, la actora denuncia en su escrito de interposición del incidente que “se ha producido una manifiesta infracción del principio de igualdad ante la ley, o ante una interpretación en la aplicación de la ley, como consecuencia de [que] la Sentencia impugnada haya confirmado una sanción en rotunda contradicción con lo resuelto al respecto, ante idénticas situaciones, por todos los Juzgados Centrales referidos, en una materia especialmente sensible a la disparidad de criterio como lo es la sancionadora”, realizándose la correspondiente cita de resoluciones dictadas por otros Juzgados Centrales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Auto de 20 de noviembre de 2014, el Juzgado desestimó la nulidad de actuaciones interesada afirmando, en relación con la incongruencia denunciada, que “la sentencia que resuelve el procedimiento abreviado 781-2012 se pronuncia sobre todos los elementos que pudieran constituir un vicio de nulidad de la resolución administrativa sancionadora considerando que la misma después de su estudio y análisis es conforme a los principios de legalidad, tipicidad y culpabilidad”. En relación con la vulneración del derecho a la igualdad en la aplicación de la ley el Juzgado añade que “[e]l hecho o circunstancia de que haya habido otros órganos jurisdiccionales que han dictado resoluciones distintas a la de la sentencia que resuelve este procedimiento abreviado no puede ser considerada como vicio que termine [sic] la nulidad de la sentencia, pues este órgano jurisdiccional considera que lo jurídicamente correcto es lo que constituye el contenido de esta Sentencia, y que la dictada por esos otros órganos jurisdiccionales carece de eficacia jurídica vinculante para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consideran vulnerados los derechos a la igualdad en la aplicación de la ley (art. 14 CE) y a la legalidad sancionadora (art. 25.1 CE), de acuerdo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infracción del art. 14 CE, la recurrente señala que la Administración impuso numerosas sanciones, por idéntica infracción, a “otros habilitados por clases pasivas”, lo que dio lugar a una multitud de pronunciamientos judiciales, la mayoría de los cuales concluyeron con la revocación de la sanción impuesta. Así, en la demanda se citan varias resoluciones del resto de Juzgados Centrales de lo Contencioso-Administrativo (seis sentencias del Juzgado núm. 2, dos sentencias del Juzgado Central núm. 3, ocho del Juzgado núm. 4, cinco del Juzgado núm. 5, tres del Juzgado núm. 6, cinco del Juzgado núm. 9, cuatro del Juzgado núm. 10, y seis del Juzgado núm. 11). A estos pronunciamientos se suma la cita de varias Sentencias del Tribunal Superior de Justicia de Andalucía (Salas de Sevilla y Málaga) que habrían estimado idénticas pretensiones a las formuladas por la actora. Ésta afirma que todos los pronunciamientos citados “tienen su fundamento en la insuficiente tipificación de la infracción imputada, lo cual produce una manifiesta vulneración del derecho de igualdad en la aplicación de la ley, nada menos que en un ámbito como el sancionador, habida cuenta de que se produce un resultado judicial distinto en procesos idénticos”. La infracción del art. 14 CE radicaría, pues, en la “rotunda contradicción con lo resuelto al respecto, ante idénticas situaciones, por todos los Juzgados Centrales referidos y también señalados Tribunales Superiores de Justicia, en una materia especialmente sensible a la disparidad criterio, como es la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 hincapié hace la demandante de amparo en la circunstancia de que ella misma haya resultado absuelta por otro Juzgado Central “en otro procedimiento contencioso-administrativo sobre un objeto y fondo idéntico al seguido ante este Juzgado”, lo que determina, a su juicio, que se den resoluciones dispares “sobre una base fáctica en la que ni el nombre de pila constituye una variante como tampoco el resto de circunstancias, objetivas y subjetivas, que permanecen, si se nos permite, ceteris paribus”.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infracción del art. 25.1 CE, la actora afirma que su conducta no era subsumible en la infracción regulada en el art. 47 del Real Decreto 1678/1987 en relación con disposición final primera del Real Decreto 193/2010. A su juicio, la resolución administrativa y la Sentencia impugnadas no tuvieron en consideración, al realizar la subsunción, “las exigencias de tipicidad, vinculadas a la legalidad, así como la seguridad jurídica”, que exigen “la máxima precisión en la determinación del tipo de infracción”. Según razona la demandante, el precepto permite sancionar a quienes “sean requeridos por la Administración”, por lo que existe una exigencia típica de “requerimiento previo” que no puede ser confundida con un “deber genérico de colaborar con los fines de interés público en materia de Clases Pasivas”. Otra conclusión llevaría, añade, a una ilegítima confusión de los conceptos de legalidad y tipicidad, siendo claro que la segunda “requiere algo más, que es la precisa definición de la conducta que la ley considera constitutiva de la infracción, y la igualmente precisa definición de la sanción que pueda imponerse”, todo ello como corolario de la exigencia constitucional de lex certa contenida en el art. 25.1 CE. En apoyo de esta tesis, la recurrente invoca nuevamente las numerosas Sentencias dictadas por otros Juzgados Centrales que llegan a la conclusión de que la conducta sancionada no tiene amparo en la norma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mayo de 2016, la Sección Cuarta acordó admitir a trámite la demanda, y, en aplicación de lo dispuesto en el art. 51 de la Ley Orgánica del Tribunal Constitucional (LOTC), dirigir atenta comunicación al Juzgado Central de lo Contencioso-Administrativo núm. 12, para que remitiera certificación o copia adverada de las actuaciones correspondientes al procedimiento abreviado núm. 781-2012 y para que emplazara a quienes hubieran sido parte en el procedimiento, excepto a la parte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aludida providencia aclara que el recurso de amparo “ofrece especial trascendencia constitucional (art. 50.1 LOTC)” porque “la doctrina del Tribunal Constitucional sobre el derecho fundamental que se alega podría estar siendo incumplida de modo general y reiterado por la jurisdicción ordinaria o pudieran existir resoluciones judiciales contradictorias sobre el derecho fundamental [STC 155/2009, FJ 2 e)]” y porque “el asunto suscitado trasciende del caso concreto porque plantea una cuestión jurídica de relevante y general repercusión social o económica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fecha 10 de junio de 2016, tuvo por comparecido al Abogado del Estado, tal y como éste había solicitado en escrito registrado en este Tribunal el 25 de mayo de 2016, y acordó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11 de julio de 2016 fueron registradas en este Tribunal las alegaciones formuladas por el Abogado del Estado, que interesa la desestimación del recurso de amparo. Para el representante de la Administración, ni el derecho a la igualdad en la aplicación de la ley (I) ni el derecho a la legalidad penal (II) han resultado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derecho a la igualdad en la aplicación de la ley, el Abogado del Estado afirma que no se dan los requisitos necesarios para apreciar su vulneración, pues, siendo cierto que hay una “diferencia de criterio judicial” entre la Sentencia impugnada y las que la actora aporta como contraste, la realidad es, no obstante, que esa diferencia es “constitucionalmente legítima” pues “las resoluciones judiciales invocadas por la parte recurrente no emanan, ninguna, del mismo órgano jurisdiccional que ha dictado ahora la Sentencia objeto de impugnación y el Auto desestimatorio del incidente de nulidad de actuaciones”. No se cumple, por tanto, con un requisito esencial fijado en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violación del art. 25.1 CE, el Abogado del Estado, tras extenderse sobre el contexto normativo en el que se insertan las normas aplicadas en el caso que nos ocupa, afirma que la exigencia constitucional de lex certa, que deriva del art. 25.1 CE, es, de acuerdo con la doctrina del Tribunal Constitucional, una exigencia de predeterminación normativa de la conducta punible que no impide la utilización de conceptos jurídicos indeterminados siempre que su concreción sea razonablemente factible en virtud de criterios lógicos, técnicos o de experiencia que permitan prever, con suficiente seguridad, la naturaleza y características de la conducta constitutiva de la infracción tipificada (STC 69/1989, de 20 de abril, FJ 1). Siendo suficiente una “predeterminación inteligible” de la infracción y la sanción para que se cumpla con la garantía aludida, “lo trascendente a la hora de determinar si el incumplimiento de la obligación contenida en la disposición final primera del Real Decreto 193/2010 constituye una conducta sancionable pasa por determinar qué debe, o qué puede entenderse claramente por colaborar por parte del habilitado con la Administración, en el sentido que ésta le requiera en relación con los fines de interés público en materia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presupuesto, el Abogado del Estado entiende que la conducta sancionada podía incardinarse en el tipo del art. 47 a) del Real Decreto 1678/1987 sin merma del derecho a la legalidad sancionadora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Porque la dicción legal “colaborar en el sentido en que ésta (la Administración) le requiera” es susceptible de ser interpretada “en sentido material”, esto es, no como la necesidad de que exista “un requerimiento previo o intimación formal dirigido o expedido por el órgano administrativo competente al sujeto pasivo” sino como “exigencia que la norma impone en el momento de efectuar el pago el habilitado a su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Porque, aun cuando se interprete que dicho requerimiento previo es exigido en el tipo, tal intimación formal ha de considerarse implícita en la transferencia de la pensión que la Administración realiza al habilitado. Según afirma “la Administración, al efectuar el pago o la transferencia al habilitado del importe de la pensión, creemos que contiene, al menos implícito, el mandato (implícito en la orden de pago en sí, explícito en la norma directamente aplicable desde el 1 de abril de 2010 y que el habilitado sin duda conoce) en el sentido de que aquella le requiere, y le efectúa el pago, se lo libra para que el habilitado receptor de las cantidades correspondientes, actúa a su vez de conformidad con lo dispuesto en la ley, es decir, conforme con la regulación, los requisitos, que la ley establece, entre ellos el de no practicar retención o deducción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Porque, además, y en cualquier caso, hubo, según afirma el Abogado del Estado, requerimiento formal de la Administración a la recurrente de amparo, teniendo tal consideración, a su juicio, la comunicación de 28 de junio de 2010 de la Dirección General de Costes de Personal y Pensiones Públicas en que se anunciaba una inspección concretamente referida a verificar el cumplimiento de la obligación de desglose. Considera, así, que, a través de esta actuación, “la Administración comunica a la habilitada recurrente, la apertura de una inspección a los efectos de comprobar lo dispuesto en esa norma”, lo que supone, según afirma, una intimación o requerimiento a que la cumpla. También podrían considerarse intimaciones formales, en la misma línea, el requerimiento a la habilitada de clases pasivas de “una muestra de 40 pensionistas de las nóminas de los meses de abril, mayo y junio de ese año 2010”, documentación “que fue remitida por la interesada en el plazo otorgado”, así como el subsiguiente informe provisional desfavorable, efectuado el 18 de octubre de 2010 sobre la muestra analizada. Todas estas “primeras comunicaciones” de la Administración con la habilitada “pueden calificarse administrativamente, a juicio de esta Abogacía del Estado, como efectivos requerimientos de actuación, de actos de instrucción, es decir, para presentación o facilitación de datos e informaciones requeridos por la Administración respecto de sus 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concluye que tampoco el derecho a la legalidad en materia sancionadora ha resultado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julio de 2016 fue registrado en este Tribunal el escrito de alegaciones de la actora, en el que se reproducen, sintéticamente, las manifestaciones ya efectuadas en la demanda, si bien añade que la lesión del art. 25.1 CE va ligada también a una lesión concomitante del art. 24.1 CE, ya que la resolución judicial es irrazonable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21 de julio de 2016 se registró en este Tribunal el escrito de alegaciones del Ministerio Fiscal, en el que se interesa la estimación del recurso de amparo por vulneración del derecho de la recurrente a la legalidad en materia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el Ministerio Fiscal que la pretendida vulneración del derecho a la igualdad en la aplicación de la ley (art. 14 CE) encubre una alegación materialmente referida a la violación del derecho a la tutela judicial efectiva (art. 24.1). Según razona, la recurrente de amparo no denuncia que el órgano judicial haya resuelto de manera contradictoria con otras resoluciones propias sino que plantea una pura discrepancia de criterio hermenéutico con Sentencias dictadas por órganos jurisdiccionales distintos, lo que es ajeno al ámbito normativo del art. 14 CE. Entiende, por ello, que la cita de las resoluciones contradictorias no tiene más virtualidad que la de atacar, desde el plano propio del art. 24.1 CE, la razonabilidad de la interpretación del tipo sancionador seguida por el órgano actuante. Semejante vulneración del art. 24.1 CE —que no del art. 14 CE— carecería, no obstante, según añade el Fiscal, “de sustantividad propia”, pues “se formula en apoyo de la vulneración del principio de legalidad del art. 25.1 CE por falta de tipicidad de la conducta sancionada”. Concluye, por todo ello, el Ministerio Fiscal que la vulneración que se denuncia es, en realidad, única, pues “[e]l eje central argumentativo de la pretensión deducida en la demanda de amparo se refiere a la falta de tipicidad de la conducta del recurrente de amparo, como pretende acreditar con las sentencias de otros órganos judiciales que consideraron en supuestos iguales la vulneración del principio de tipicidad, esto es, la vulneración del principio de legalidad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Circunscribiendo, pues, sus alegaciones a la posible violación del derecho a la legalidad penal, el Fiscal ante el Tribunal Constitucional estima que la posible lesión de dicho derecho se localiza, en el caso planteado, “en la aplicación del tipo sancionador a un supuesto de hecho manifiestamente ajeno al sentido de los elementos que integran aquél”, manifestando al respecto que “la simple lectura de los preceptos sancionadores aplicados por la Administración … permite advertir un supuesto de hecho en que el habilitado de clases pasivas no habría realizado la conducta por la que ha sido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art. 47 a) del Real Decreto 1678/1987, de 30 de diciembre, “exige que, entre el incumplimiento de la obligación de colaborar y la sanción administrativa por no colaborar con la Administración, medie un requerimiento administrativo de colaboración en el sentido que señale la Administración”. En ese marco de relación bilateral, el propio precepto se refiere a la necesidad de un incumplimiento “concreto” de lo requerido. Es preciso, en suma, según razona el Fiscal, que “previamente medie una actuación de la Administración tendente a que la conducta del habilitado de clases pasivas se adecue a la norma que regula la materia sobre el pago de pensiones”, actuación que la norma identifica con “un requerimiento claro, concreto y específico dirigido al habilitado de clases pasivas, de manera individual, que especifique claramente la colaboración que se le requiere en orden a cumplir los fines públicos en materia de clases pasivas en la forma indicada por la disposición final primera del real decreto 193/2010”. En consecuencia, entiende el Ministerio Fiscal que la Administración sancionó un comportamiento no previsto en la norma, interpretando ésta de un modo completamente ajeno a su significado, lo que supone una violación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Consumada dicha vulneración en sede administrativa, el Ministerio Fiscal estima que la Sentencia del Juzgado de lo Contencioso-Administrativo de 27 de febrero de 2014 se limitó a señalar, en relación a la controversia realmente suscitada, que “por todo lo expuesto se desestima la demanda contra esa resolución sancionadora pues de lo actuado en el procedimiento ha quedado evidenciado que la misma es conforme con el principio de legalidad, tipicidad y culpabilidad”, fórmula genérica que nada dice sobre el juicio de subsunción en la norma y que deja, por tanto, incólume la vulneración acaecida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estime el recurso de amparo, declarándose la vulneración del derecho de la recurrente a la legalidad sancionadora con la consiguiente anulación de todas las resoluciones impugnadas, administrativas y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y mediante “otrosí digo”, el Fiscal interesó que se recabara el expediente administrativo, lo que efectivamente se hizo en diligencia de ordenación de la Secretaría de Justicia de la Sala Segunda de 22 de julio de 2016. Recibido el expediente el 11 de agosto de 2016, mediante diligencia de ordenación de 5 de septiembre de 2016, la Secretaría de Justicia acordó dar vista de copia del mismo a las partes y al Ministerio Fiscal por un plazo común de 20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26 de septiembre de 2016, la recurrente presentó nuevo escrito de alegaciones, ratificando las ya efectuadas en su escrito previo y en la propia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 de octubre de 2016, el Abogado del Estado presentó igualmente un nuevo escrito en el que ratifica las alegaciones efectuadas en el anterior y añade, como “alegación adicional”, ciertas consideraciones sobre el expediente administrativo sancionador, descartando la posible violación del principio de personalidad de la sanción, cuestión suscitada exclusivamente en dicho expediente y ajena, en cualquier caso, al ámbito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4 de octubre de 2016 tuvo entrada en este Tribunal un escrito del Ministerio Fiscal, en el que señala que, una vez examinado el expediente administrativo, ratifica las alegaciones ya efectuadas en su informe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diciembre de 2016,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resolución de 8 de marzo de 2011, del Director General de Costes de Personal y Pensiones Públicas y contra la resolución de 13 de junio de 2011 de la Subdirectora General de Recursos, Reclamaciones y Relaciones con la Justicia del Ministerio de Economía y Hacienda. Estas resoluciones administrativas consideraron, tal y como se ha explicado con detalle en los antecedentes, que la demandante de amparo, en su calidad de habilitada de clases pasivas, incumplió el deber de transferir íntegramente a 40 de sus mandantes el importe completo de sus pensiones, sin realizar cargos sobre el mismo, deber que resultaba de lo previsto en la disposición final primera del Real Decreto 193/2010, de 26 de febrero. Estimaron, asimismo, las citadas resoluciones que el incumplimiento de dicha obligación era subsumible, por las razones que han sido detalladamente consignadas, en la infracción administrativa que sanciona el “incumplimiento concreto” de la obligación de “prestar los datos e informaciones que le sean requeridos por la Administración respecto de sus mandantes y colaborar en el sentido que ésta le requiera en relación con los fines de interés público en materia de clases pasivas” [art. 47 a) del Real Decreto 1678/1987 y disposición final primera 3.1 a) de la Ley 21/1986, de 23 de diciembre, de presupuestos generales para el año 1987]. La recurrente de amparo estima que estas dos resoluciones administrativas violaron su derecho a la legalidad penal, pues sancionaron una conducta que no estaba contemplada en la concreta infracción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también se dirige contra la Sentencia de 27 de febrero de 2014 del Juzgado Central de lo Contencioso-Administrativo núm. 12, a la que la recurrente imputa no sólo el no haber reparado la vulneración previamente acaecida en vía administrativa sino también, y de manera específica, la violación de su derecho a la igualdad en la aplicación de la ley (art. 14 CE). Considera, en este sentido, que la Sentencia se contradice abiertamente con otras resoluciones dictadas por órganos distintos en casos, en su opinión, completamente idénticos. Esta vulneración, atribuida de manera exclusiva al órgano judicial, fue pertinentemente denunciada a través del incidente de nulidad de actuaciones, dando lugar a un Auto desestimatorio de 20 de noviembre de 2014, frente al que igualmente se dirige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por su parte, la desestimación del recurso mientras que el Ministerio Fiscal considera que debe otorgarse el amparo solicitado al entender que ha resultado vulnerado el derecho de la recurrente a la legalidad en materia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ha puesto en duda la especial trascendencia constitucional de este recurso, exigencias de certeza y buena administración de justicia (STEDH de 20 de enero de 2015, caso Arribas Antón c. España, apartado 46) obligan a explicitarla para hacer recognoscibles los criterios empleados por este Tribunal en la apreciación de dicho requisito de orden público (entre otras, STC 113/2012, de 24 de mayo,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especial trascendencia constitucional concurre por un doble motivo. De un lado, la recurrente ha acreditado suficientemente en su demanda la existencia de resoluciones judiciales contradictorias en la aplicación del art. 25.1 CE [STC 155/2009, FJ 2 e)]. De otro, el asunto suscitado trasciende del caso concreto al plantear una cuestión jurídica de relevante y general repercusión [STC 155/2009, FJ 2 f)], ya que la interpretación realizada por el órgano judicial tiene, como después se verá, una potencialidad expansiva que permite convertir, en vía interpretativa, cualquier tipo de incumplimiento existente en nuestro ordenamiento en una suerte de cláusula sancionatoria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el fondo del presente recurso, hemos de realizar tres consideraciones previas sobre el objeto del mismo, pues, en última instancia, éste se circunscribe a una única vulneración de derechos fundamentales.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Formalmente, nos encontramos, en efecto, ante un amparo mixto en el que la violación del derecho a la igualdad en la aplicación de la ley (art. 14 CE) se imputa exclusivamente a las resoluciones dictadas por el Juzgado Central de lo Contencioso-Administrativo. Se achaca, en cambio, la vulneración del derecho a la legalidad en materia sancionadora (art. 25.1 CE) a las resoluciones administrativas antecedentes. Esta circunstancia haría, en principio, que nuestro análisis debiera comenzar por esta última vulneración, pues, tal y como hemos señalado en otras ocasiones, “puede sostenerse como criterio general que en los amparos mixtos la pretensión deducida por la vía del art. 43 LOTC es autónoma y su examen resulta, en principio, preeminente”, preeminencia que “tiene su fundamento en que la comisión de una lesión constitucional en el transcurso del proceso judicial no impide que el acto administrativo siga siendo el verdadero objeto del proceso de amparo que finalmente deviene en mixto” (SSTC 5/2008, de 21 de enero, FJ 3; 31/2014, de 24 de febrero, FJ 2, y 199/2014,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Sin embargo, tal y como apunta el Ministerio Fiscal, puede observarse de antemano que la alegación de vulneración del derecho a la igualdad en la aplicación de la ley carece, a todas luces, de sustantividad jurídica suficiente, ya que, bajo tal nomen iuris, se imputa al órgano judicial, no una contradicción con lo decidido en una resolución previa propia, sino el haber utilizado un criterio interpretativo que, a la luz de los razonamientos incluidos en otras resoluciones contradictorias dictadas por órganos distintos, ha de reputarse arbitrario, por carecer de soporte razonable en la norma sancionadora que se aplica. En este sentido, como apunta el Fiscal ante el Tribunal Constitucional, se denuncia, en realidad, que el órgano judicial ha incurrido en una violación del derecho a la tutela judicial efectiva (art. 24.1 CE), y así parece reconocerlo la propia demandante de amparo que, en su escrito de alegaciones de fecha 12 de julio de 2016, plantea la posibilidad de que la actuación judicial impugnada sea constitutiva de una violación del art. 24.1 CE, al resultar irrazonable la interpretación efectuada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Imputándose, en definitiva, al órgano judicial una posible violación, no del derecho a la igualdad en la aplicación de la ley (art. 14), sino del derecho a la tutela judicial efectiva (art. 24.1 CE), ha de señalarse que el examen de esta última queja debe quedar subsumido en el análisis, más amplio, de la pretendida vulneración del derecho sustantivo en juego (art. 25.1 CE), pues, de acuerdo con nuestra doctrina, el canon de razonabilidad que impone el art. 25.1 CE es “más exigente que el que, por norma general, caracteriza al derecho a la tutela judicial efectiva (art. 24.1 CE)”, razón por la cual, en la aplicación judicial del tipo sancionador, el examen de la lesión del derecho fundamental a la legalidad sancionadora lleva siempre implícito el escrutinio de la razonabilidad de la motivación empleada por el órgano judicial, convirtiéndose, por ello, el art. 25.1 CE en parámetro único de constitucionalidad (STC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infiere, en definitiva, que el presente proceso constitucional ha de ser resuelto examinando, en exclusiva, la queja sobre la que, en realidad, orbita todo el recurso de amparo, que es la posible vulneración del derecho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Quedando circunscrito nuestro análisis a la queja aludida (art. 25.1 CE), resulta pertinente señalar, en primer lugar, cuál fue la conducta sancionada y los preceptos que sirvieron de sustento a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detalle en los antecedentes, la actora fue sancionada por cargar las deducciones correspondientes a su intervención profesional directamente sobre el importe recibido de la Administración en concepto de pensión, cuando su obligación era transferir dicho importe, en su totalidad, a sus mandantes, procediendo de forma separada a cargarles tales deducciones. Dicha conducta fue objeto de subsunción en las siguientes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se encuentra el precepto que establece la infracción aplicada, que es el art. 47 a) del Real Decreto 1678/1987, por el que se reglamenta la profesión de habilitado de clases pasivas en los aspectos de la misma relacionados con los fines administrativos en materia de clases pasivas y con el interés general, y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disposición final primera, número 3, de la Ley 21/1986, de 23 de diciembre, las conductas que darán origen a sanción administrativa serán las de incumplimiento concreto por el Habilitado de las siguientes obligaciones: a) Prestar los datos e informaciones que le sean requeridos por la Administración respecto de sus mandantes y colaborar en el sentido que ésta le requiera en relación con los fines de interés público en materia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señalar que esta norma reglamentaria, como se indica expresamente en su texto normativo, tiene soporte legal directo en la disposición final primera, núm. 3, regla primera, de la Ley de presupuestos del año 1987 (ley 21/1986, de 23 de diciembre), que, al habilitar la reforma de la reglamentación de la profesión de habilitado de clases pasivas, dispone específicamente para el ámbito sancionador que “[l]as conductas que darán origen a sanción administrativa serán las de incumplimiento concreto por el Habilitado de las siguientes obligaciones: a) Prestar los datos e informaciones que le sean requeridos por la Administración respecto de sus mandantes y colaborar en el sentido que ésta le requiera en relación con los fines de interés público en materia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se encuentra la norma que establece el deber de colaborar con la Administración que se ha reputado singularmente incumplido, que es la disposición final primera del Real Decreto 193/2010, de 26 de febrero, por el que se modifica el Real Decreto 227/1981, de 23 de enero, sobre sistemas de pago de los haberes de clases pasivas del Estado, que, bajo la rúbrica “desglose de transferencias”, señala a su 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prestaciones de Clases Pasivas solicitadas antes de la entrada en vigor del presente real decreto, los habilitados de clases pasivas estarán obligados a abonar a su mandante, ya sea mediante transferencia bancaria o mediante cheque, el importe íntegro de la pensión o pensiones de Clases Pasivas que le haya sido pagado por la Administración, sin practicar deducción alguna. Las comisiones, gastos de gestión o impuestos derivados del ejercicio de la actividad profesional que repercuta en su cliente deberán cobrarlos de forma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que ha sido delimitado el objeto del recurso y que han quedado expuestos los elementos fácticos y jurídicos que sirven de referencia inexcusable para resolver el mismo, ha de procederse a un adecuado encuadramiento de la queja planteada por la actora dentro de las diversas facetas que comprende el derecho fundamental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propia recurrente realiza una primera delimitación en la demanda de amparo, en la que considera que las resoluciones impugnadas han vulnerado la garantía constitucional de lex certa. Sin embargo, dicha garantía, como faceta específica del derecho a la legalidad sancionadora, se desenvuelve, en nuestra doctrina (vid, por todas, STC 146/2015, de 25 de junio, FJ 2),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ahora determinar cuál de estas ópticas está realmente en juego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acaba de apuntarse, el principio de legalidad penal, en su vertiente material, proyecta, en primer lugar, sus efectos sobre el legislador, pues, al reflejar la especial trascendencia del principio de seguridad jurídica (art. 9.3 CE), “comporta el mandato de taxatividad o de certeza que se produce en la exigencia de predeterminación normativa de las conductas y sus correspondientes sanciones (lex certa) en virtud del cual el legislador debe promulgar normas concretas, precisas, claras e inteligibles, para que los ciudadanos deban conocer de antemano el ámbito de lo proscrito y prever, así, las consecuencias de sus acciones” (SSTC 185/2014, de 6 de noviembre, FJ 8, y 146/2015,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primera dimensión de la garantía de lex certa es invocada por la Administración (en la resolución de alzada) y por el Abogado del Estado, en sus alegaciones, para descartar la vulneración del derecho a la legalidad sancionadora, pues consideran, en síntesis, que la doctrina de este Tribunal sobre la predeterminación normativa de la conducta sancionable no es incompatible con la utilización de conceptos jurídicos indeterminados, siempre que estos queden después suficientemente concretados con el auxilio de otras normas, aunque éstas sean de rango infralegal. La realidad es, sin embargo, que la demanda de amparo no contiene reproche alguno que se refiera específicamente a la redacción normativa de las normas en juego,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 claro que la actora considera en su demanda que el art. 47 a) del Real Decreto 1678/1987 tiene un ámbito de aplicación normativa claramente determinado ex ante, pues entiende que el tipo aludido exige, sin oscuridad alguna en este punto, la existencia previa de un requerimiento concreto de colaboración que se haya visto desatendido por el individuo requerido. La norma aludida no es, pues, en sí misma, objeto de tacha alguna de inconstitucionalidad por la utilización de conceptos excesivamente abiertos o indeterminados. Al contrario, la demandante considera que las expresiones típicas explicitan suficientemente la exigencia de un requerimiento de colaboración, habiendo desbordado la Administración, en su opinión, ese concreto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Resultan, por ello, intrascendentes a efectos de este amparo los argumentos de la resolución administrativa de alzada (en los que vuelve a incidir el Abogado del Estado en sus alegaciones) relativos a la admisibilidad, en la configuración de tipos sancionadores, de conceptos jurídicos indeterminados que puedan ser concretados con el auxilio de otras normas, ya que el problema que la actora plantea no versa sobre la utilización, por parte de la norma misma, de conceptos excesivamente abiertos. Al contrario, se denuncia la manipulación interpretativa, por parte del aplicador, de elementos típicos que, en la redacción del precepto, se entiende que son notablemente precisos.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Tampoco parece, finalmente, que, en el recurso de amparo, se dé relevancia alguna al rango infralegal de las normas aplicadas (Real Decreto 1678/1987 y Real Decreto 193/2010), siendo manifiesto, en cualquier caso, tal y como queda ya dicho, que la norma sancionadora stricto sensu, contenida en el Real Decreto 1678/1987, era reproducción literal de la disposición final primera, núm. 3, regla primera, de la Ley de presupuestos del año 1987 (Ley 21/1986, de 23 de diciembre), que le daba, de este modo, una cobertura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es este primer aspecto de la garantía de lex certa el que se pone en entredicho en el presente recurso de amparo, aunque ciertas consideraciones incluidas en los fundamentos de las resoluciones impugnadas o en las alegaciones del Abogado del Estado puedan inducir a equívoco al respecto. Antes bien, en el presente caso, la queja de la recurrente se residencia en el ámbito del juicio aplicativo, pues se imputa a la Administración una utilización irrazonable de la norma. En este sentido, lo que la recurrente afirma es que la actuación de la Administración haciendo uso de esa norma constituye una violación patente del derecho a la legalidad sancionadora, que proscribe que “nadie pueda ser condenado o sancionado por acciones u omisiones que no constituyan delito, falta o infracción administrativa, según la legislación vigente, en el momento de la comisión del hecho, quebrándose este derecho cuando la conducta enjuiciada, la ya delimitada como probada, es subsumida de un modo irrazonable en el tipo que resulta aplicado” (SSTC 57/2010, de 4 de octubre, FJ 3; 153/2011, de 17 de octubre, FJ 8; 196/2013, de 2 de diciembre, FJ 5, y 146/2015, de 25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Entrando, pues, en la faceta del art. 25.1 CE que constituye el auténtico núcleo de la queja planteada, ha de recordarse que, una vez que el autor de la norma ha cumplido suficientemente con el mandato al dar una redacción precisa al precepto sancionador, la garantía de certeza exige igualmente de los órganos sancionadores que están llamados a aplicarlo “no sólo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En efecto,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 En este segundo plano, que es el de la aplicación concreta de la norma, la violación del derecho a la legalidad sancionadora puede producirse, como hemos anticipado,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la violación del art. 25.1 CE “puede proceder de la interpretación misma del precepto sustantivo aplicado, ya que el Juez puede atribuir a la norma penal un contenido que exceda, en perjuicio del acusado, del tenor literal posible del precepto, incurriendo en tal caso en una analogía in malam partem que ha de entenderse constitucionalmente proscrita” (STC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“cuando la interpretación de la norma sustantiva resulta, en cambio, compatible con el tenor literal posible de la norma aplicada, la lesión del art. 25.1 CE puede derivar del juicio de subsunción que se realiza con base a los hechos probados”, juicio que hemos señalado que “debe respetar un doble parámetro de razonabilidad: (i) el metodológico, que exige que no incurra en quiebras lógicas y que sea acorde con los modelos de argumentación aceptados dentro de la comunidad jurídica, y (ii) el axiológico, que requiere que se ajuste a los criterios y valores que informan nuestro ordenamiento constitucional (SSTC 138/2004, de 13 de septiembre, FJ 3; 242/2005, de 10 de octubre, FJ 4; 9/2006, de 16 de enero, FJ 4; 242/2005, de 10 de octubre, FJ 4; 262/2006, de 11 de septiembre, FJ 4, 129/2008, de 27 de octubre, FJ 3; 91/2009, de 20 de abril, FJ 6; 153/2011, de 17 de octubre, FJ 8, y 196/2013, de 2 de diciembre, FJ 5)” (STC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pues, el doble escrutinio que debe ser empleado para examinar la queja que ahora nos ocupa. Debe determinarse, en suma, si la aplicación de la norma sancionadora ha sido irrazonable, bien porque, en el ámbito de juicio interpretativo, se haya desbordado el límite del sentido literal posible del precepto, bien porque, con ocasión del juicio de subsunción, no se hayan respetado los criterios metodológicos comúnmente reconocidos o los parámetros axiológicos que derivan de nuestro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Comenzando nuestro análisis por la interpretación del alcance del precepto sancionador a la vista de su tenor literal posible, puede comprobarse que las resoluciones impugnadas parten, como reconoce el Abogado del Estado en sus alegaciones, de una interpretación “material” de los preceptos en juego, según la cual la dicción literal del art. 47 a) del Real Decreto 1687/1987 puede ser entendida, no como la necesidad de que exista “un requerimiento previo o intimación formal dirigido o expedido por el órgano administrativo competente al sujeto pasivo”, sino como “exigencia que la norma impone en el momento de efectuar el pago el habilitado a su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lectura del precepto sancionador [art. 47 a) del Real Decreto 1678/1987] pone de relieve, sin embargo, que la conducta que en él se contempla tiene dos elementos objetivos: (i) la existencia de una comunicación antecedente, realizada por la Administración al interesado para exigirle una determinada colaboración activa (de la que el propio precepto ejemplifica el supuesto de facilitar información sobre los mandantes) y (ii) el incumplimiento subsiguiente, por parte del habilitado, de aquello que la Administración le ha exigido previamente. Estamos, por ello, tanto en la estructura como en la semántica del precepto (que incluye, como verbos rectores, “requerir” y “colaborar”), ante la formulación característica de un tipo de incumplimiento que se consuma, necesariamente, en el seno de una relación bilateral entablada, de forma concreta, entre la Administración actuante y el sujeto obligado a obedecer el mandato singular que ésta le dirige. Así resulta, a todas luces, tanto de la exigencia típica de requerimiento previo, que el precepto establece con claridad meridiana, como del hecho de que la conducta sancionable se concrete, con idéntica evidencia, en la omisión de la colaboración requerida y no en el incumplimiento genérico de un deber directamente dimanante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pues, descartarse, frente a lo alegado por el Abogado del Estado, que estemos ante un tipo (abierto) de incumplimiento de deberes normativamente establecidos en la gestión de los haberes de las clases pasivas, en el que el deber de colaborar del habilitado pueda ser inmediatamente completado por cualquier norma de la que derive una obligación de comportamiento. Un tipo de esas características, que se refiriese con carácter general al incumplimiento de tales deberes, podría, en efecto, ser complementado con la concreta y precisa formulación, en otras normas distintas, de cada una de las obligaciones que pesan sobre el profesional actuante. Sin embargo, la estructura y dicción del tipo no es, manifiestamente, esa, ya que en el mismo no se alude en ningún momento, ni siquiera de forma genérica, al incumplimiento directo de los deberes normativamente impuestos al habilitado —entre ellos, el desglose de las transferencias— sino a la falta de colaboración ante un requerimiento expreso previamente formulado por el ente administrativo. El sustrato típico que legitima la imposición de la sanción exige, pues, de forma nítida, esa relación específica entre la Administración y el habilitado.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interpretación efectuada en las resoluciones impugnadas, que identifica el mero incumplimiento de un deber de conducta normativamente impuesto con una inobservancia concreta a un requerimiento de colaboración efectuado por el poder gubernativo, desborda, a todas luces, los límites estructurales y semánticos de la infracción seleccionada, que queda convertida, en vía aplicativa, en un tipo de alcance universal. Es patente, por ello, no sólo la lesión del art. 25.1 CE, sino también la necesidad objetiva de que este Tribunal declare expresamente, con ocasión de tal vulneración, la inadmisibilidad constitucional de esa concepción expansiva del tipo de incumplimiento como una suerte de cláusula sancionatoria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 hasta ahora señalado es suficiente para estimar el recurso interpuesto, ya que la Administración y el órgano judicial prescindieron, en su interpretación del sentido literal posible del precepto aplicado, de elementos típicos claramente exigidos por la norma. Esta circunstancia nos eximiría, en principio, de evaluar la corrección del juicio de subsunción, que, al no haber tenido en cuenta dichos elementos, no puede considerarse idóneo para aplicar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Abogado del Estado plantea un argumento adicional para descartar la vulneración del derecho fundamental previsto en el art. 25.1 CE. En su opinión, aun aceptándose que el tipo sancionador exige un requerimiento concreto de colaboración, el examen del caso demuestra, a su juicio, que dicho requerimiento existió de facto, circunstancia que haría legítima, según razona, la subsunción de la conducta de la recurrente en el art. 47 a) del Real Decreto 1678/1987. Dicho de otro modo: el error en la comprensión interpretativa del alcance del tipo sancionador resultaría intrascendente ya que en el expediente figuraban elementos fácticos suficientemente acreditados que habrían permitido aplicar la norma sancionadora de acuerdo con sus estrictos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ese sentido, el representante de la Administración que en la transferencia de la pensión que la Administración realizó al habilitado se contenía, implícito, el requerimiento concreto que resultó, después, incumplido. Adicionalmente, afirma el Abogado del Estado que la comunicación de 28 de junio de 2010 de la Dirección General de Costes de Personal y Pensiones Públicas en que se anunciaba una inspección concretamente referida a verificar el cumplimiento de la obligación de desglose, contenía una intimación o requerimiento, igualmente implícitas, de cumplimiento. Y también estima, finalmente, que podrían considerarse intimaciones formales, en este sentido, tanto el requerimiento a la habilitada de clases pasivas de “una muestra de 40 pensionistas de las nóminas de los meses de abril, mayo y junio de ese año 2010”, como el subsiguiente informe provisional desfavorable, efectuado el 18 de octubre de 2010 sobre la muestra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cabe señalar, en primer lugar, que esta alegación del Abogado del Estado desborda claramente el objeto del presente recurso, que versa sobre las resoluciones administrativas y judiciales impugnadas, que no razonan, en ningún momento, que las comunicaciones administrativas aludidas por el representante procesal de la Administración constituyeran los requerimientos exigidos por el tipo sancionador aplicado. Al contrario, dichas resoluciones consideraron que tal requerimiento no era necesario y que bastaba un simple mandato legal para suplirlo. El Abogado del Estado reconstruye, pues, los fundamentos fácticos y jurídicos de la sanción en su día impuesta, reconstrucción ex post facto que, obviamente, resulta improcedente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cabe señalar, a mayor abundamiento, que la tesis del Abogado del Estado sobre la corrección (accidental) del juicio de subsunción tampoco cumple, en cualquier caso, con las mínimas exigencias de razonabilidad que derivan del art. 25.1 CE. En este sentido, es obvio que las comunicaciones efectuadas en el procedimiento de inspección fueron posteriores a la realización de la conducta que resultó sancionada. No pueden, por tanto, ser consideradas como requerimientos previos de colaboración sin forzar con ello, más allá de lo metodológicamente admisible, el juicio de subsunción en la norma, incurriendo en una quiebra lógica evidente. De otra parte, de todas estas comunicaciones, sólo la petición de información sobre la muestra de nóminas concretamente seleccionada constituyó un auténtico requerimiento de colaboración, susceptible de ser atendido, requerimiento que el propio Abogado del Estado reconoce en sus alegaciones que fue puntualmente cumplido por la recurrente de amparo y que, por ello, mal puede convertirse en el sustrato fáctico de una sanción por incumplimiento. Finalmente, el único acto de los señalados por el Abogado del Estado que antecede a la conducta sancionada, la transferencia a la habilitada del importe de la pensión de los mandantes, es una actuación puramente material de la que no puede inferirse, sin incurrir en irrazonabilidad manifiesta, la existencia de un requerimiento implícito.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aun cuando los argumentos aportados —como se ha dicho, a posteriori y al margen de lo que razonan las resoluciones impugnadas— por el Abogado del Estado pudieran ser tomados en consideración, la conclusión no podría ser otra que la irrazonabilidad de la subsunción de la conducta en el tipo sancionador que le fue aplicado, con la consiguiente vulneración del derecho a la legalidad sancionadora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 anteriormente expuesto debe conducir a la estimación del recurso de amparo y, con ello, a la declaración de nulidad de las resoluciones administrativas y judiciales impugnadas, que vulneraron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Teresa Hualde Juvera,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legalidad sancionadora, reconocida en el art. 25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el Auto de 20 de noviembre de 2014 y la Sentencia del 27 de febrero de 2014 del Juzgado Central de lo Contencioso-Administrativo núm. 12, dictados en el procedimiento abreviado núm. 781-2012, así como la resolución de 13 de junio de 2011 de la Subdirectora General de Recursos, Reclamaciones y Relaciones con la Justicia del Ministerio de Economía y Hacienda, y la resolución de 8 de marzo de 2011 del Director General de Costes de Personal y Pensiones Públicas.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