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16 de enero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julio de 2015, la Procuradora de los Tribunales doña Isabel Alfonso Rodríguez, en nombre y representación de don Jordi Raymon Parra, y bajo la dirección de la Letrada doña Laia Serra Perelló, interpuso recurso de amparo contra la Sentencia núm. 161/2015, de 17 de marzo, de la Sala Segunda del Tribunal Supremo, confirmada por Auto de 19 de mayo de 2015 de esa misma Sala que desestimó el incidente de nulidad de actuaciones formulado contra aquella. La Sentencia que se impugna estimó el recurso de casación interpuesto por el Fiscal y, revocando la absolutoria de primera instancia dictada por la Sección Primera de la Sala de lo Penal de la Audiencia Nacional con fecha 7 de julio de 2014, condenó al ahora recurrente y a otras de las personas acusadas en la instancia, como autores de un delito contra las instituciones del Estado del art. 498 del Código penal, a la pena a cada uno de tres años de prisión e inhabilitación especial para el derecho de sufragio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providencia de 28 de noviembre de 2016, acordó la admisión a trámite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7 de diciembre de 2016, la representación procesal del demandante de amparo solicitó, tras la admisión del recurso y al amparo del art. 56 de la Ley Orgánica del Tribunal Constitucional (LOTC), que se acuerde la formación de la pieza separada de suspensión cautelar respecto de la pena privativa de libertad que se le imputa de tres años de prisión, alegando que la no suspensión de su ejecución produciría al recurrente un perjuicio irreversible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diciembre de 2016 la Sala Primera de este Tribunal acordó la formación de pieza separada para la tramitación del incidente sobre la suspensión solicitada, así como conceder a los recurrentes y al Ministerio Fiscal el plazo común de tres días para que alegasen lo que estimasen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15 de diciembre de 2016, presentó alegaciones en las que, tras hacer referencia a la jurisprudencia de este Tribunal sobre el particular, interesó que se accediera a la suspensión de la pena de prisión, en atención a: (i) la duración de la pena impuesta a los demandantes y el tiempo que requiere normalmente la tramitación de un proceso de amparo como el presente; (ii) el hecho de que los recurrentes hayan permanecido en libertad durante la tramitación del proceso de origen y de que los órganos judiciales hayan efectuado diversos pronunciamientos sobre su culpabilidad en las distintas instancias; (iii) la falta de constancia de que recurrentes sean personas con antecedentes; y (iv) que el principal afectado, el Parlamento de Cataluña, personado como acusación particular en la causa, haya apoyado, según los demandantes, la solicitud de indulto formulada. Dicho lo cual, deja a criterio de este Tribunal la valoración de la necesidad de adoptar, en este momento procesal, la medida de suspensión si, como se indica en la propia demanda, subsiste la suspensión de ejecución de la pena acordada por la Sala de lo Penal de la Audiencia Nacional como consecuencia de estar pendiente la decisión sobre el indulto solicitado (art. 56.4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19 de diciembre de 2016, la representación procesal de los demandantes de amparo presentó ante este Tribunal escrito de alegaciones reiterándose en los argumentos ya esgrimidos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No obstante, el art. 56.2 LOTC dispone, a su vez,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doctrina de este Tribunal, “si la ejecución de una pena privativa de libertad no reviste carácter efectivo o actual por haber sido aplazada o suspendida, o por haber sido concedida la remisión condicional o la libertad condicional mediante resolución de los órganos judiciales competentes, no concurrirá el presupuesto del que parte el art. 56.2 LOTC, esto es, que la ejecución de la pena hubiere de ocasionar un perjuicio que haría perder al amparo su finalidad” (ATC 195/2016, de 28 de noviembre, FJ 1; en el mismo sentido AATC 116/2015, de 6 de julio, y 2/2016, de 18 de enero,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dichas pautas jurisprudenciales y legales, no puede accederse a la suspensión de la pena privativa de libertad solicitada por el recurrente y apoyada por el Ministerio Fiscal. Por Auto de la Sala Primera de la Audiencia Nacional de 16 de junio de 2015, como así pone de manifiesto el propio recurrente en su escrito solicitando la suspensión de la pena de prisión, se acordó la suspensión de la ejecución de la pena privativa de libertad impuesta, a la espera de la tramitación del indulto solicitado. No concurre, entonces, el presupuesto establecido por el art. 56.2 LOTC, esto es, que la ejecución de la pena hubiere de ocasionar un perjuicio que haría perder al amparo su finalidad, pues se encuentra suspendida. Todo ello con independencia de que la denegación de la suspensión pueda ser modificada en el curso del proceso constitucional si surgieren nuevas circunstancias (art. 57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Deniega la suspensión en el recurso de amparo 4098-2015, promovido por don Jordi Raymond Parra en causa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dos mil diecisiete. a dieciséis de enero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