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30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14 de noviembre de 2016, Martín Ingenieros LID, S.L., representada por don Antonio Martin Moradillo, interpuso recurso de amparo contra Sentencia de la Sección Primera de la Sala de lo Contencioso-Administrativo del Tribunal Superior de Justicia de Castilla y León en recurso 18-2014.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representante legal de la empresa, por escrito presentado el 9 de diciembre de 2016, estando el amparo pendiente de resolver sobre su admisión o inadmisión, manifiesta que desiste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13 de diciembre de 2016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23 de diciembre de 2016, no se opuso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 86.1 de la Ley Orgánica de este Tribunal (LOTC), y a la que es de aplicación supletoria la legislación procesal ordinaria (art. 80 LOTC), que la recoge en los arts.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Por otro lado,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Martín Ingenieros LID, S.L.,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