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9 de febrero de 2017 tuvo entrada en el registro general de este Tribunal un escrito de la Sala de lo Contencioso-Administrativo del Tribunal Superior de Justicia de Navarra, al que se acompaña, junto al testimonio del correspondiente procedimiento, Auto de 16 de enero de 2017, recaído en el recurso de apelación núm. 324-2016, por el que se acuerda promover ante este Tribunal cuestión de inconstitucionalidad respecto de los artículos 175.2 y 3 de la Ley Foral 2/1995, de 10 de marzo, de haciendas locales de Navarra, por posible vulneración del art.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22 de febrero de 2017 el Magistrado don Juan Antonio Xiol Ríos comunicó su voluntad de abstenerse en el conocimiento de la presente cuestión de inconstitucionalidad por entender que concurría la causa 10 del art. 219 de la Ley Orgánica del Poder Judicial, porque en la actualidad mantiene pendiente de resolución por parte del Ayuntamiento de Madrid una solicitud de reintegro de ingresos indebidos que trae causa de la aplicación de preceptos legales estatales similares a los cuestionados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al mantener en la actualidad pendiente de resolución por parte del Ayuntamiento de Madrid una solicitud de reintegro de ingresos indebidos que trae causa de la aplicación de preceptos legales estatales similares a los cuestionados en el presente procedimiento, está incurso en la causa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la cuestión de inconstitucionalidad núm. 686-2017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