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7 de marzo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17 de octubre de 2016, don Victorino Ferrero Cano interpuso recurso de amparo contra el Auto de 7 de septiembre de 2016 de la Sección Séptima de la Sala de lo Contencioso-Administrativo del Tribunal Superior de Justicia de Madrid, desestimatorio del recurso de queja articulado contra el Auto de 14 de marzo de 2016 del Juzgado de lo Contencioso-Administrativo núm. 20 de Madrid (procedimiento abreviado núm. 401-2014), que denegó la admisión a trámite del recurso de apelación formalizado frente a la Sentencia de 11 de enero de 2016 dictada en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aduce la vulneración del art. 24.1, en su vertiente de acceso a los recursos, y de los arts. 14 y 28.1 CE, en relación con la denominada indemnidad retributiva en el ejercicio de la actividad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9 de enero de 2017, la Sección Cuarta del Tribunal Constitucional acordó inadmitir a trámite el recurso de amparo por incurrir en el defecto insubsanable de no haber satisfecho debidamente la carga consistente en justificar la especial trascendencia constitucional del recurso (art. 49.1 de la Ley Orgánica del Tribunal Constitucional: LOTC), lo que, conforme a reiterada jurisprudencia constitucional, requiere una argumentación específica y suficiente (STC 69/2011, de 16 de mayo, FFJJ 2 y 3, y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interpone el 23 de enero de 2017 recurso de súplica frente a la señalada providencia de inadmisión, razonando que la demanda de amparo contiene un apartado específico dedicado al cumplimiento del requisito del art. 49.1 in fine LOTC, que pone de manifiesto la existencia de una negativa al acatamiento de la jurisprudencia constitucional y, en fin, que aduce el dictado de resoluciones judiciales contradictorias en los Juzgados de lo Contencioso-Administrativo de Madrid sobre el cobro del complemento variable de productividad por objetivos por quienes tienen créditos horarios como liberados sindicales, reconociendo o negando el derecho, de suerte que, a su juicio, se habría cumplido con la necesaria carga alegatoria que aquel precepto de la Ley Orgánica del Tribunal Constitucional requiere.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24 de enero de 2017, se acordó dar traslado al demandante de amparo por el plazo de tres días para que alegara lo que estimara pertinente. El recurrente, mediante escrito de 1 de febrero de 2017, se adhirió a los argumentos del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Ministerio Fiscal recurre en súplica la providencia de inadmisión del recurso dictada por esta misma Sección el día 9 de enero de 2017, que consideró incumplida la exigencia de justificar en el mismo la especial trascendencia constitucional, de conformidad con los arts. 50.1 a) y 49.1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requisito procesal de la suficiente justificación de la transcendencia constitucional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(entre las últimas, STC 146/2016, de 19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discrepa de la conclusión que alcanzamos sobre la satisfacción por la parte recurrente del requisito indicado. Sin embargo, aunque relata en su escrito el contenido del recurso en ese punto, no razona por qué lo que el demandante adujo sobre el particular debería llevarnos a alterar la conclusión sentada en la providencia de inadmisión que ahora se impugna. Por ello, a falta de aportación de argumento alguno que sustente la tesis que el Ministerio Fiscal postula, distinto al menos a la mera mención o referencia a los argumentos de la parte recurrente ya considerados insuficientes por esta Sección en la resolución de inadmisión, no encontramos razones para cambiar el criterio acogido en la providencia recurrida sobre la carga del art. 49.1 in fine LOTC, más allá de la legítima discrepancia con la decisión adoptada que revela la formalización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cualquier modo y a mayor abundamiento, respecto del primer argumento pretendidamente justificativo de la especial trascendencia constitucional en el recurso de amparo, convendrá subrayar que el hecho de que se dicten resoluciones contradictorias en pleitos diferentes sobre la denominada indemnidad retributiva en el ejercicio de la actividad sindical, por sí solo e inevitablemente, no supone que en ellos se haya realizado una aplicación contradictoria de nuestra doctrina en la materia. De modo señalado, cuando dicha discrepancia no se razona, solo se enuncia, soslayando datos que podrían resultar relevantes para acreditarla como, por ejemplo, los perfiles de similitud de los casos a contraste en los que se habría proyectado nuestra jurisprudencia de modo dispar, la concurrencia de una coincidente perspectiva de enjuiciamiento u otros datos de ese estilo o equiparables, para construir a partir de ello la justificación de la discordante interpretación abstracta y general de las normas aplicables por parte de los órganos judiciales en su consideración de la doctrina constitucional comprometida.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en cuanto a la segunda parte del alegato, bastará destacar que el recurso de amparo aduce que el órgano judicial incurrió en una negativa manifiesta del deber de acatamiento de la doctrina del Tribunal Constitucional [art. 5 de la Ley Orgánica del Poder Judicial, letra f) del fundamento jurídico 2 de la STC 155/2009, de 245 de junio], desembocando, tras la alusión a ese supuesto, en una síntesis de nuestra jurisprudencia sobre la indemnidad retributiva, que entiende desatendida. Sin embargo, olvida el recurso, y ahora el Ministerio Fiscal, que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ese sentido, STC 133/2011, de 18 de julio, FJ 3), elemento intencional o volitivo que caracteriza el concreto supuesto de especial trascendencia constitucional que se invoca (ATC 26/2012, de 31 de enero, FJ 3). En suma, dicha actuación resistente de los órganos judiciales no se razona en el recurso de amparo que se formula, ni en el que ahora formaliza el Ministerio Fiscal, por lo que tampoco puede llevarnos a cambiar el criterio sentado en la providencia de inadmisión de 9 de enero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afirmado, procede confirmar la inadmisión de la demanda de amparo cuya reconsideración ha solicitado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9 de enero de 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