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octubre de 2016, la procuradora de los Tribunales doña Laura-Argentina Gómez Molina, en nombre y representación de don César Rodríguez Vázquez, interpuso recurso de amparo, por vulneración de los arts. 17, 24.1 y 25.1 CE, contra el Auto de 21 de julio de 2016 de la Sala de lo Penal del Tribunal Supremo, que desestimó la pretensión de declaración de prescripción del delito por el que el recurrente fue condenado, manteniendo en sus propios términos la Sentencia de la misma Sala, de 13 de noviembre de 2015, núm. 749/2015, que impuso al ahora demandante, como autor de un delito de blanqueo de capitales por imprudencia, sin la concurrencia de circunstancias modificativas de la responsabilidad penal, la pena de un año de prisión, inhabilitación especial para el derecho de sufragio pasivo por el tiempo de la condena y multa de ciento veinte mil euros, con doce días de arresto personal subsidiario por impago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ex artículo 56 de la Ley Orgánica del Tribunal Constitucional, la suspensión de la ejecución de la pena impuesta al demandante de amparo, por cuanto podría causar un perjuicio tal que haría perder la finalidad del presente recurso, y sin ocasionar, en cambio, perturbación grave a ningún derecho constitucionalmente protegido a terceros ni 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9 de marzo de 2017, y tras admitir el recurso por providencia fechada en el mismo día, acordó la formación de pieza separada para la tramitación del incidente sobre la suspensión solicitada, concediendo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de amparo presentó escrito de alegaciones con fecha 17 de marzo de 2017. Aduce que la pena impuesta es de un año de prisión, por lo que podría perder el amparo su finalidad; que la pena accesoria de inhabilitación especial para el ejercicio del derecho de sufragio pasivo durante el tiempo de la condena debe seguir la suerte de la pena principal, y que la multa impuesta, por su parte, por su elevada cuantía, no podría ser afrontada por el recurrente, pudiendo dar lugar a la ejecución de los embargos trabados sobre su vivienda, lo que causaría un daño de imposible reparación en caso de ser adjudicada en subasta pública a un tercero de buena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30 de marzo de 2017, presentó alegaciones solicitando la concesión de la suspensión de la pena privativa de libertad y de la accesoria de inhabilitación, a cuyo fin transcribe parcialmente el ATC 49/2016, de 29 de febrero, pero oponiéndose, en cambio, a la suspensión de la ejecución de la pena de multa y el pago las costas y también del eventual arresto sustitutorio por insolvencia del condenado, toda vez que del cumplimiento de lo primero no se derivarían perjuicios irreparables y, en cuanto a lo último, resulta imposible valorar la reparabilidad de los perjuicios que pudieran derivarse, pues se ignora incluso si dicho arresto va a llegar a ser cumplido.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en relación a la suspensión de las penas de prisión, recordábamos en el reciente ATC 35/2017, de 27 de febrero, FJ 2, que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tanto, de acuerdo con las tesis del Ministerio Fiscal, concurren los requisitos que nuestra doctrina exige para otorgar la suspensión de la ejecución en cuanto a la pena privativa de libertad, dado que la duración de la pena impuesta —un año de prisión— permite afirmar que su ejecución puede ocasionar al demandante perjuicios irreparables que harían perder su finalidad al recurso de amparo. Resulta por ello procedente decretar la suspensión cautelar en atención a su corta duración, tratando así de evitar que la previsible duración de este amparo pudiera conllevar la inefectividad de un eventual pronunciamiento estimatorio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regla de accesorium sequitur principale, igual suspensión deberá extenderse a la privación del derecho de sufragio pasivo (art. 44 del Código penal: CP) aneja a la privativa de libertad suspensa (por todos ATC 291/2014, de 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conclusión contraria se alcanza, en cambio, respecto del resto de las peticiones, de marcado contenido patrimonial, resultando de aplicación la doctrina de este Tribunal según la cual, como dijéramos recientemente en el mismo Auto transcrito parcialmente en el primer fundamento jurídico, dicho contenido, “no produce(n) daño irreparable o de muy difícil reparación (entre otros, AATC 386/2008, de 15 de diciembre, FJ 3; 156/2009 y 157/2009, ambos de 18 de mayo, FJ 3; 18/2011, de 28 de febrero, FJ 4, y 16/2012, de 30 de enero, FFJJ 2 y 3)…” (ATC 34/2016, FJ 4; en el mismo sentido, ATC 195/2016,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el recurrente no ha logrado fundamentar verosímilmente la imposibilidad de reparación derivada del pago que pretende suspender (por ejemplo, ATC 34/2016, de 15 de febrero, FJ 4), limitándose a realizar una alegación retórica sobre su situación económica, sin acreditación alguna, que por consiguiente no permite contrastar cuál es realmente su patrimonio o los medios o bienes de los que dispone para hacer frente a los importes.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ello, como dijéramos asimismo en el ATC 35/2017, de 27 de febrero, la alegación del recurrente que subraya que podría provocarse la venta en subasta de su vivienda habitual, para proceder con ello al abono, constituye solo una hipótesis. No obstante y si en el futuro se instara una ejecución forzosa contra dicho inmueble y para la fecha no hubiera recaído aun la Sentencia de este amparo, podría solicitarse a este Tribunal una modificación de lo acordado, ex art. 57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incumplimiento de la carga de alegación que pesaba sobre el recurrente, conduce a desestimar su solicitud de suspensión en este último punto.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privativa de libertad de un año de prisión, y accesoria de privación del derecho de sufragio pasivo durante el tiempo de la condena, impuesta al recurrente en Sentencia de 13 de noviembre de 2015, núm. 749/2015, de la Sala de lo Penal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