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24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3279-2014, interpuesto por doña Osatohanmwen Imafidon, ha recaído la STC 29/2017, de 27 de febrero, por la que se estima el recurso, declarando vulnerado el derecho fundamental de la demandante de amparo a la tutela judicial efectiva (art. 24.1 CE), anulando las Sentencia del Juzgado de lo Penal núm. 2 de Manresa de 19 de abril de 2013, recaída en el procedimiento abreviado núm. 284-2013, y de la Sección Segunda de la Audiencia Provincial de Barcelona de 10 de abril de 2014, recaída en el recurso de apelación núm. 53-2014, en el extremo relativo a la decisión de sustituir la pena de dos años de prisión por la expulsión del territorio nacional con prohibición de entrada en España durante seis años, y retrotrayendo las actuaciones hasta el momento inmediatamente anterior al pronunciamiento de las primera de las citadas resoluciones para que el órgano judicial dicte una nueva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 la recurrente, mediante escrito registrado el 6 de marzo de 2017, solicita la aclaración de la citada Sentencia en lo relativo a que (i) el recurso de amparo ha estado dirigido por un letrado diferente al que aparece referenciado en la Sentencia y (ii) el recurso de amparo planteaba también la nulidad de las Sentencias impugnadas con fundamento en “que no habían contemplado los sendos documentos públicos concernientes a la carencia de antecedentes penales en su país de origen y con ello valorar la inmerecida condena por intentar falsear hechos inexistentes. Al no pronunciarse el alto Tribunal sobre esta segunda cuestión, queda sin respuesta y carente de motivación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procede acceder a la aclaración solicitada. En relación con la identificación de la dirección letrada del presente recurso de amparo, y sin perjuicio de la petición de sustitución sobrevenida en dicha dirección, no existe ningún aspecto que aclarar o rectificar. En el encabezamiento de la sentencia y en el antecedente de hecho primero se hace constar la identificación de los profesionales designados por el Turno de oficio cuya intervención ha dado lugar al presente procedimiento constitucional mediante la interposición de la demanda de amparo a que se refiere 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relación con la alegada omisión de pronunciamiento en que habría incurrido este Tribunal, tal como se hizo constar de manera precisa en el antecedente de hecho primero de la STC 29/2017, de 27 de febrero, el escrito que tiene la consideración de demanda de amparo en el sentido del art. 49, en relación con el art. 81.1 LOTC, es el registrado en este Tribunal el 27 de marzo de 2015, que fue interpuesto en virtud de nombramientos por designación del turno de oficio por la procuradora de los Tribunales doña María Guadalupe Moriana Sevillano, bajo la dirección del Letrado don José Ramón Fernández López-Lucendo. En dicha demanda, tal como también se hizo constar de manera precisa en el antecedente de hecho tercero de la citada STC 29/2017, el único derecho fundamental invocado fue el derecho a la tutela judicial efectiva (art. 24.1 CE), con fundamento en que no se valoró la prueba documental admitida a trámite respecto de la eventual existencia de arraigo familiar de la recurrente. Por tanto, la STC 29/2017 se pronunció sobre la única pretensión deducida en la demanda de amparo y no se puede apreciar que se haya producido ningún tipo de omisión de pronunciamiento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es reiterada la doctrina de este Tribunal de que las pretensiones en el recurso de amparo quedan fijadas en la demanda de amparo, como escrito rector de este procedimiento constitucional y que, por ello, en la demanda se fija definitivamente el objeto del amparo y se determinan los límites del deber de congruencia de este Tribunal (así, SSTC 126/2011, de 18 de julio, FJ 7, o 93/2002, de 22 de abril, FJ 1). De ese modo, ninguna relevancia tiene a los efectos de delimitar las pretensiones del presente recurso de amparo sobre las que debía pronunciarse este Tribunal ni las invocaciones recogidas en el escrito registrado el 19 de mayo de 2014, que con la sola firma de la recurrente solo puede tener la eficacia dada por este Tribunal de instar el nombramiento de profesionales del turno de oficio para la interposición formal de una futura demanda de amparo; ni el escrito remitido por correo certificado administrativo el 24 de febrero de 2015 y registrado en este Tribunal el 3 de marzo de 2015, que nuevamente aparece solo firmado por la recurrente; ni, por último, las alegaciones recogidas en el escrito registrado el 28 de julio de 2015, formuladas al amparo del art. 52 LOTC que, según reiterada jurisprudencia de este Tribunal, tampoco pueden servir para introducir nuevas pretensiones autónomas diferentes de las invocadas en la demanda de amparo, por ser de carácter extemporáneo (así, SSTC 126/2011, de 18 de julio, FJ 7, o 30/1986, de 20 de febrero,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