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4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28 de diciembre de 2016, la Procuradora de los Tribunales doña Pilar Marta Bermejillo de Hevia en representación de 126 Buenavista, S.L., y otros, interpuso recurso de amparo contra Auto de la Sección Decimoctava de la Audiencia Provincial de Madrid de 7 de noviembre de 2016, resolviendo recurso de apelación interpuesto contra Auto del Juzgado de Primera Instancia núm. 74 de Madrid de 31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señora Bermejillo de Hevia, por escrito presentado en este Tribunal el día 15 de febrero de 2017 y suscrito por letrado, manifiesta su voluntad de desistir de la continuación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16 de febrero de 2017,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día 1 de marzo de 2017, manifiesta que no se opone a la aprobación del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artículo 86.1 de la Ley Orgánica del Tribunal Constitucional (LOTC), y a la que es de aplicación supletoria la legislación procesal ordinaria (art. 80 LOTC), que la recoge en los artículos 19.1 y 20.2 y 3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aparece revestida de los requisitos legales, al constar en el poder conferido por el recurrente el otorgamiento con carácter especial de las facultades de desistir, tal y como exige el artículo 25.2.1 LEC, además de que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presente recurso de amparo a las entidades 126 Buenavista S.L., Abaco I Proyectos, Reformas y Licencias S.L., Entrearroyos S.L., y Losanse S.A.,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