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11 de mayo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septiembre de 2016 tuvo entrada en el registro general de este Tribunal un escrito del Juzgado de lo Contencioso-Administrativo núm. 1 de Jerez de la Frontera, al que se acompaña, junto al testimonio del correspondiente procedimiento, Auto de 25 de julio de 2016, recaído en el recurso contencioso-administrativo núm. 174-2015, por el que se acuerda promover ante este Tribunal cuestión de inconstitucionalidad respecto el artículo 107 del Real Decreto Legislativo 2/2004, de 5 de marzo, por el que se aprueba el texto refundido de la Ley reguladora de las haciendas locales, por posible vulneración del artículo 31.1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11 de mayo 2017 el Magistrado don Alfredo Montoya Melgar manifestó, conforme a lo previsto en el artículo 217 de la Ley Orgánica del Poder Judicial (LOPJ), en relación con el artículo 80 de la Ley Orgánica del Tribunal Constitucional, su voluntad de abstenerse en el conocimiento de la cuestión de inconstitucionalidad núm. 409-2016 y todas sus incidencias, al concurrir en él la causa establecida en el artículo 219.10 LOPJ (tener interés indirecto en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Alfredo Montoya Melgar, en virtud de lo previsto en los artículos 80 de la Ley Orgánica del Tribunal Constitucional y 221.4 de la Ley Orgánica del Poder Judicial (LOPJ), se estima justificada la causa de abstención formulada, puesto que el mencionado Magistrado está incurso en la causa décima del artículo 219 LOPJ (interés indirecto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la cuestión de inconstitucionalidad núm. 4864-2016 y apartarle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