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septiembre de 2016 tuvo entrada en el registro general de este Tribunal un escrito del Juzgado de lo Contencioso-Administrativo núm. 1 de Jerez de la Frontera, al que se acompaña, junto al testimonio del correspondiente procedimiento, Auto de 25 de julio de 2016, recaído en el recurso contencioso-administrativo núm. 445-2015, por el que se acuerda promover ante este Tribunal cuestión de inconstitucionalidad respecto del artículo 107 del Real Decreto Legislativo 2/2004, de 5 de marzo, por el que se aprueba el texto refundido de la Ley reguladora de las haciendas locales, por posible vulneración del art.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23 de mayo 2017 el Magistrado don Alfredo Montoya Melgar manifestó, conforme a lo previsto en el artículo 217 de la Ley Orgánica del Poder Judicial (LOPJ), en relación con el artículo 80 de la Ley Orgánica del Tribunal Constitucional, su voluntad de abstenerse en el conocimiento de la cuestión de inconstitucionalidad núm. 4865-2016 y todas sus incidencias, al concurrir en él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artículos 80 de la Ley Orgánica del Tribunal Constitucional y 221.4 de la Ley Orgánica del Poder Judicial (LOPJ), se estima justificada la causa de abstención formulada, puesto que el mencionado Magistrado está incurso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la cuestión de inconstitucionalidad núm. 4865-2016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