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2017 tuvo entrada en el registro general de este Tribunal un escrito del Juzgado de lo Contencioso-Administrativo núm. 29 de Madrid, al que se acompaña, junto al testimonio del correspondiente procedimiento, Auto de 27 de marzo de 2017, recaído en el procedimiento abreviado núm. 315-2015, por el que se acuerda promover ante este Tribunal cuestión de inconstitucionalidad respecto de los artículos 107 y 110.4 del Real Decreto Legislativo 2/2004, de 5 de marzo, por el que se aprueba el texto refundido de la Ley reguladora de las haciendas locales, por posible vulneración de los artículos 31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de 23 de mayo 2017, los Magistrados don Juan Antonio Xiol Ríos y don Alfredo Montoya Melgar manifestaron, conforme a lo previsto en el artículo 217 de la Ley Orgánica del Poder Judicial (LOPJ), en relación con el artículo 80 de la Ley Orgánica del Tribunal Constitucional, su voluntad de abstenerse en el conocimiento de la cuestión de inconstitucionalidad núm. 1685-2017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artículos 80 de la Ley Orgánica del Tribunal Constitucional y 221.4 de la Ley Orgánica del Poder Judicial (LOPJ), se estima justificada la causa de abstención formulada,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 abstenciones formuladas por los Magistrados don Juan Antonio Xiol Ríos y don Alfredo Montoya Melgar en la cuestión de inconstitucionalidad núm. 1685-2017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