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2017 tuvo entrada en el registro general de este Tribunal un escrito del Juzgado de lo Contencioso-Administrativo núm. 3 de Santander, al que se acompaña, junto al testimonio del correspondiente procedimiento, Auto de 23 de marzo de 2017, recaído en el procedimiento abreviado núm. 351-2016, por el que se acuerda promover ante este Tribunal cuestión de inconstitucionalidad respecto del artículo 107 del Real Decreto Legislativo 2/2004, de 5 de marzo, por el que se aprueba el texto refundido de la Ley reguladora de las haciendas locales, por posible vulneración de los artículo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de 23 de mayo 2017, los Magistrados don Juan Antonio Xiol Ríos y don Alfredo Montoya Melgar manifestaron, conforme a lo previsto en el artículo 217 de la Ley Orgánica del Poder Judicial (LOPJ), en relación con el artículo 80 de la Ley Orgánica del Tribunal Constitucional, su voluntad de abstenerse en el conocimiento de la cuestión de inconstitucionalidad núm. 1776-2017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artículos 80 de la Ley Orgánica del Tribunal Constitucional y 221.4 de la Ley Orgánica del Poder Judicial (LOPJ), se estima justificada la causa de abstención formulada,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 abstenciones formuladas por los Magistrados don Juan Antonio Xiol Ríos y don Alfredo Montoya Melgar en la cuestión de inconstitucionalidad núm. 1776-2017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