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2017 tuvo entrada en este Tribunal un escrito al que se acompañaba el Auto de la Sección Primera de la Sala de lo Contencioso-Administrativo del Tribunal Superior de Justicia del País Vasco de 30 de diciembre de 2016, por el que se acordaba plantear una cuestión prejudicial sobre la validez del artículo 14.5 de la Norma Foral 12/1989, de 5 de julio, del impuesto de bienes inmuebles de Gipuzkoa, en la redacción dada por el artículo 1 de la Norma Foral 4/2012, de 4 de julio. Se adjuntaba, asimismo, testimonio de las actuaciones que han dado origen a la cuestión (recurso de apelación 667-2016 interpuesto contra la Sentencia del Juzgado de lo Contencioso-Administrativo núm. 1 de Donostia-San Sebastián de 30 de octubre de 2015 en el procedimiento abreviado núm. 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“Tratándose de bienes inmuebles de uso residencial que no constituyan la residencia habitual del sujeto pasivo o de terceros por arrendamiento o cesión de su uso, los ayuntamientos podrán exigir un recargo de hasta el 150 por 100 de la cuota líquida del Impuesto. Dicho recargo, que se exigirá a los sujetos pasivos de este tributo, se devengará en el mismo momento que el impuesto sobre el que se aplica y se liquidará anualmente, conjuntamente con la cuota.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la aplicación del presente recargo, se entenderá por inmuebles de uso residencial los locales que estén recogidos como de uso o destino de vivienda en el Catastro. Se incluirán los anexos a la vivienda siempre que formen una finca registral única. A los mismos efectos, se presumirá que un inmueble de uso residencial es residencia habitual cuando a fecha de devengo del impuesto, en el padrón del municipio donde radique la vivienda conste que constituye la residencia habitual de su o sus ocupantes.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los ayuntamientos podrán establecer en sus ordenanzas fiscales supuestos a los que no resulte de aplicación el recargo previsto en el presente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resolución del Ayuntamiento de Zarautz de 13 de octubre de 2014 se desestimaron los recursos de reposición formulados por una serie de contribuyentes contra las liquidaciones del impuesto sobre bienes inmuebles (en adelante, IBI) correspondientes al ejercicio 2014, que incluían el recargo previsto en el artículo 14.5 de la Norma Foral 12/1989.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citada resolución fue objeto de un recurso contencioso-administrativo en el que se demandaba la anulación de las liquidaciones y la declaración de nulidad del apartado de la ordenanza municipal que regula el recargo aplicable a la cuota líquida del IBI para inmuebles de uso residencial que no constituyan la residencia habitual del sujeto pasivo o de un tercero, interesando la elevación de la cuestión al Tribunal Constitucional para que dilucide si es acorde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la Sentencia del Juzgado de lo Contencioso-Administrativo núm. 1 de Donostia-San Sebastián de 30 de octubre de 2015, según la cual no cabe sostener la duda de constitucionalidad basada en la contradicción con la legislación estatal, puesto que la norma controvertida se enmarca en el ámbito de regulación foral, habiéndose dictado en ejercicio de las potestades reconocidas a los territorios forales por la disposición adicional primera de la Constitución. Tampoco considera fundadas las alegaciones de los recurrentes sobre la vulneración de los principios de seguridad jurídica, capacidad de pago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mencionada Sentencia fue objeto de un recurso de apelación en el que se interesaba que, previo planteamiento de una cuestión sobre la constitucionalidad del artículo 14.5 de la Norma Foral 12/1989, se dictara sentencia revocando la de instancia. Los recurrentes afirmaban que este precepto vulnera el artículo 31.1 CE, puesto que establece un recargo en el IBI que consideran basado en el criterio del empadronamiento, lo que introduce un agravio comparativo entre residentes y no residentes. Añaden que dicha norma crea realmente un impuesto nuevo que contradice lo previsto en el texto refundido de la Ley reguladora de las haciendas locales (Real Decreto Legislativo 2/2004, de 5 de marzo), pues el recargo que permite establecer a los ayuntamientos es tres veces mayor que el recogido en la norma estatal (artículo 72.4 del citado Real Decreto Legislativo 2/2004) que, además, —afirman— todavía no ha entrado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Una vez declarado concluso el procedimiento, mediante providencia de 20 de octubre de 2016, se acordó oír a las partes y al Ministerio Fiscal sobre la conveniencia de plantear una cuestión prejudicial acerca del artículo 14.5 de la Norma Foral 12/1989, en relación con los principios de seguridad jurídica y reserva de ley en materia tributaria (arts. 9.3 y 133.1 y 2 CE), así como de capacidad de pago e igualdad en la imposición de los tributos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presentó un escrito el 31 de octubre de 2016 en el que consideraba pertinente el planteamiento de la cuestión prejudicial, sin perjuicio del informe que pudiera emitirse en su día por la Fiscalía General del Estado. Tras formular los juicios de aplicabilidad y relevancia, que consideraba cumplidos, concluía que la norma plantea dudas con relación a los principios de seguridad jurídica, reserva de ley, capacidad de pago e igualdad en la imposición de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escrito de 2 de noviembre de 2016 el Ayuntamiento de Zarautz se opuso al planteamiento de la cuestión prejudicial, alegando que: i) el único interés de la parte apelante es que se plantee la cuestión; ii) en todo caso, debe oírse a las Juntas Generales de Gipuzkoa, como institución responsable de la norma controvertida; iii) no hay vulneración de los principios de seguridad jurídica y reserva de ley, pues no existe contradicción entre el artículo 14.5 de la Norma Foral 12/1989 y el Real Decreto Legislativo 2/2004, negando, asimismo, que el empadronamiento opere como una presunción iuris et de iure, puesto que es factible desvirtuarla; y iv) tampoco se infringen los principios de capacidad de pago e igualdad en la imposición de tributos, ya que con el recargo debatido no se introduce ninguna discriminación que sea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último, los recurrentes presentaron sus alegaciones el 3 de noviembre de 2016 en las que, remitiéndose a lo razonado en el recurso de apelación, instaban el planteamiento de la cuestión sobre el artículo 14.5 de la Norma Foral 12/1989, por entender que el fallo que debía pronunciarse depende de la validez de dicha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empieza descartando la alegación del Ayuntamiento de Zarautz según la cual los recurrentes solo pretenden el planteamiento de la cuestión prejudicial, puesto que los actos administrativos impugnados se han dictado en aplicación de una ordenanza que reproduce el contenido del artículo 14.5 de la Norma Foral 12/1989, por lo que el interés de la apelante va más allá de dicho planteamiento, resultando que esta norma es aplicable al caso y determinante del fallo, de forma que se superan los juicios de aplicabilidad y relevancia. Añade, en cuanto a la necesidad de escuchar a las Juntas Generales de Gipuzkoa, que dicho trámite se sustanciará en el proceso constitucional, conforme prevé la disposición adicional quinta de la Ley Orgánica 2/1979, de 3 de octubre,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continuación, expone el marco normativo aplicable e indica que una previsión similar al controvertido artículo 14.5 de la Norma Foral 12/1989 ha sido aprobada en los territorios históricos de Bizkaia y Álava/Araba, aunque con diferencias en cuanto al importe máximo del recargo que se permite establecer a los ayuntamientos. Asimismo, encuadra el recargo en el precedente del artículo 72.4 del Real Decreto Legislativo 2/2004, destacando que, a pesar del tiempo transcurrido desde su aprobación, todavía no ha sido aplicado, por no haberse desarrollado reglamentariamente el concepto de “inmuebles de uso residencial que se encuentren desocupados con carácter permanente”. Aclara que diversas sentencias de los tribunales han despejado cualquier duda sobre la competencia para efectuar tal desarrollo, que en el territorio común corresponde al Estado. Y pone de manifiesto varias diferencias entre ambas disposiciones como son: i) la norma foral no requiere un ulterior desarrollo reglamentario, a diferencia del artículo 72.4 del Real Decreto Legislativo 2/2004; ii) la norma estatal toma como elemento objetivo que el inmueble residencial “se encuentre desocupado con carácter permanente”, en tanto que la norma foral amplía el recargo a todos los inmuebles residenciales “que no constituyan la residencia habitual del propietario o de terceros por arrendamiento o cesión de uso”, lo que se presume a partir del empadronamiento; y iii) por último, la cuantía del recargo cambia, siendo de hasta el 150 por 100 en la Norma Foral 12/1989 y de un máximo del 50 por 100 en el artículo 72.4 del Real Decreto Legislativo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vista de lo anterior, explica las dudas de constitucionalidad que se le suscitan, comenzando por los principios de seguridad jurídica y reserva de ley en materia tributaria (arts. 9.3 y 133.1 y 2 CE). En primer término, desestima el argumento de los apelantes de que el artículo 14.5 de la Norma Foral 12/1989 contradice el artículo 72.4 del Real Decreto Legislativo 2/2004, pues ambas normas tienen distintos ámbitos competenciales y los territorios históricos pueden regular el sistema tributario local, de acuerdo con lo previsto en el concierto económico, en particular, su artículo 39, referido al IBI. Aclarado lo cual, la Sala afirma que el recargo discutido es una obligación tributaria accesoria de la obligación principal de satisfacer la cuota del IBI y que su delimitación también queda sujeta a la reserva de ley. El problema radica, a su juicio, en que el artículo 14.5 de la Norma Foral 12/1989 no define el hecho generador del recargo, es decir, el uso residencial no habitual, sino que “dispone el medio de prueba de ese hecho por remisión al Padrón del municipio atribuyendo, además, a ese censo un valor de prueba que excede el alcance de la presunción establecida en el artículo 53.1 del Real Decreto 1690/1986, de 11 de julio, por el que se aprueba el Reglamento de Población y Demarcación Territorial de las Entidades Locales”. Así, considera que el recargo se asienta en un concepto, el uso residencial habitual, que la norma no define con la suficiente certeza, sino que “lo suplanta o diluye en el valor, simplemente instrumental o de prueba, de la inscripción en el Padrón del municipio”. De esta forma, mientras que el dueño del inmueble residencial en el que aparezcan empadronados él mismo o terceros gozará del favor de la presunción de residencia, el dueño de un inmueble en el que no estén empadronados ni él ni terceros “se enfrentará en vano a la prueba del mismo hecho por los medios ordinarios, pues no sabrá con certeza a qué atenerse”. Según la Sala, esta indeterminación no puede subsanarse por remisión al concepto de residencia habitual previsto en el concierto económico, ni al de la normativa del impuesto sobre la renta de las personas físicas, ni tampoco al concepto civil de domicilio. Tras lo cual el órgano judicial se pregunta “hasta qué punto puede la prestación accesoria (el recargo) exceder de la principal”, de manera que podríamos hallarnos —añade— frente a un impuesto nuevo que grava las viviendas que no constituyen la residencia habitual del sujeto pasivo o de terceros, lo que podría ser contrario a los artículos 9.3 y 133.1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Desde la perspectiva del artículo 31.1 CE las dudas del órgano judicial parten de que el recargo, a pesar de su finalidad extrafiscal, que no pone en duda, debería recaer sobre alguna fuente de capacidad económica. Y si bien está claro cuál es esta fuente en el IBI, resulta que el recargo está gravando la falta de ocupación del inmueble, el que este no constituya residencia habitual, y el Tribunal tiene dudas de que una única circunstancia, cual es la relativa al lugar del empadronamiento, sea determinante de una mayor capacidad económica. Le llama la atención, además, la desproporción del recargo, lo que puede afectar al principio de igualdad tributaria, poniendo en tela de juicio que la diferencia de trato entre dos titulares de inmuebles por el hecho de la residencia habitual respete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afirmando que “en el caso que nos ocupa resulta dudosa la constitucionalidad del recargo que impone la Norma Foral toda vez que, llegando a poder suponer hasta un 150 por 100 de la cuota líquida del impuesto, no obedece a una fuente de capacidad económica cualitativamente distinta de aquella sobre la que recae el impuesto y, además, lo hace en atención a un criterio exclusivo, el del empadronamiento (ajeno a aquellos que sirven para la fijación de la base imponible), que determina un tratamiento sustancialmente distinto entre quienes se encuentran en una situación comparable prescindiendo de la introducción de elementos correctores o que contribuyan a una mejor justificación de tal tratamiento diferenciado”.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de acuerdo con los artículos 35 y 36 de la Ley Orgánica del Tribunal Constitucional (LOTC), la Sala de lo Contencioso-Administrativo del Tribunal Superior de Justicia del País Vasco acuerda plantear una cuestión prejudicial de validez respecto del artículo 14.5 de la Norma Foral 12/1989, por posible infracción de los principios de seguridad jurídica y reserva de ley en materia tributaria (arts. 9.3 y 133.1 y 2 CE), así como de capacidad de pago e igualdad en la imposición de tributos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2017 la Sección Cuarta acordó, a los efectos que determina el artículo 37.1 LOTC, oír al Fiscal General del Estado para que, en el plazo de diez días, alegara lo que considerara conveniente acerca de la admisibilidad de la presente cuestión prejudicial,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30 de mayo de 2017 interesando la inadmisión de la cuestión por resultar notoriamente infundada,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manifestar que se cumplen los presupuestos procesales exigibles, analiza la primera objeción planteada por el órgano judicial, referida a los principios de seguridad jurídica y reserva de ley en materia tributaria (arts. 9.3 y 133.1 y 2 CE). A este respecto, considera que la norma cuestionada sí contiene los elementos esenciales requeridos para garantizar la reserva de ley, pues define el hecho imponible que genera la obligación del recargo, la base imponible, el tipo de gravamen, el sujeto pasivo y el devengo. Tras recordar que el principio de reserva de ley en materia tributaria tiene mayor flexibilidad que en el ámbito sancionador, con cita de la STC 121/2005, FJ 5, afirma que las dudas que expone el Auto son realmente de interpretación del alcance que debe darse al concepto de residencia habitual, lo que no puede convertirse —añade— en el objeto de la cuestión, como recuerda la STC 40/2014, FJ 2. A su juicio, la falta de desarrollo en la norma del término “residencia habitual” no impide a los órganos judiciales que conozcan de los recursos contra los actos de aplicación del recargo precisar el alcance de dicho concepto, para lo que pueden utilizar los criterios generales de interpretación, especialmente, la finalidad del precepto. Además, el Tribunal promotor no expresa por qué, si considera que el hecho del empadronamiento es una presunción iuris tantum, como se desprende al artículo 104.1 de la Norma Foral general tributaria de Gipuzkoa, no pueden emplearse otros medios para acreditar la residencia habitual, con el alcance que corresponda, ya que el órgano judicial no está vinculado por la interpretación mantenida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los principios de capacidad de pago e igualdad en la imposición de tributos (art. 31.1 CE), el Fiscal General del Estado entiende que la titularidad de una vivienda con y sin empadronamiento no constituyen términos homogéneos de comparación, a efectos del juicio de igualdad. Destaca que la propia Sala reconoce que un inmueble que no es residencia habitual del titular ni de terceros es indicativo de una especial capacidad económica, lo que se refuerza —continúa afirmando— a la vista de que el recargo enjuiciado presenta una finalidad extrafiscal, dirigida a promocionar el acceso a la vivienda, lo que debe tenerse en cuenta a la hora de enjuiciar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escrito de alegaciones afirmando que la cuestión planteada carece de solidez en la fundamentación de las dudas de constitucionalidad, por lo que interesa que, teniendo por cumplimentado el traslado conferido en virtud del artículo 37.1 LOTC, se dicte auto inadmitiéndola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una cuestión prejudicial de validez respecto del artículo 14.5 de la Norma Foral 12/1989, de 5 de julio, del impuesto de bienes inmuebles de Gipuzkoa, en la redacción dada por el artículo 1 de la Norma Foral 4/2012, de 4 de julio, cuyo tenor literal se ha reproducido en los antecedentes. En relación con esta misma norma se han planteado también las cuestiones núms. 639-2017 y 641-2017, siendo la única diferencia entre las tres el periodo impositivo al que se refieren las liquidaciones tributarias que dan origen al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se opone, por las razones expuestas en los antecedentes, a la admisión a trámite de la cuestión, por estimarla notoriamente infundada, con arreglo al artículo 37.1 de la Ley Orgánica 2/1979, de 3 de octubre, del Tribunal Constitucional (LOTC, en adelante), de acuerdo con el cual, el Tribunal puede rechazar en trámite de admisión mediante Auto, sin otra audiencia que la del Fiscal General del Estado, la cuestión de inconstitucionalidad cuando fuera notoriamente infundada; precepto que resulta aplicable a las cuestiones prejudiciales de validez sobre normas forales fiscales de los territorios históricos, por remisión expresa de la disposición adicional quinta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concepto de cuestión “notoriamente infundada” del artículo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AATC 145/2016, de 19 de julio, FJ 3, y 42/2017, de 28 de febrero, FJ 3). Pues bien, como se razonará a continuación, en el presente caso las dudas de constitucionalidad planteadas resultan manifiestamente infundadas. De ahí que, como solicita el Fiscal General del Estado, la cuestión deba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norma cuestionada se enmarca en el concierto económico con la Comunidad Autónoma del País Vasco (Ley 12/2002, de 23 de mayo), aprobado al amparo de la disposición adicional primera de la Constitución y del artículo 41.1 de la Ley Orgánica 3/1979, de 18 de diciembre, por la que se aprueba el Estatuto de Autonomía para el País Vasco (EAPV). El artículo 39 del concierto prevé que “[e]l Impuesto sobre Bienes Inmuebles se regulará por las normas que dicten las instituciones competentes de los Territorios Históricos y gravará los bienes de naturaleza rústica y urbana sitos en su respectivo Territorio Histórico”. Así pues, en los territorios históricos del País Vasco el impuesto sobre bienes inmuebles (IBI) se regula por las normas forales que aprueben las instituciones competentes, con sujeción a la Constitución y a los principios generales y reglas de armonización y colaboración contenidas en el Concierto (artículos 2, 3 y 4). No hay que olvidar que las normas forales fiscales son “un tipo singular de normas reglamentarias … fruto de un poder tributario derivado, cuyo ejercicio, como sucede también con el que corresponde en materia tributaria a las Comunidades Autónomas y a las entidades locales, no sólo queda condicionado por la Constitución, sino también por las normas que dicte el Estado en la materia” [STC 118/2016, de 23 de junio, FJ 2 b)]. En efecto, aun cuando la Constitución autoriza a los territorios históricos a establecer y regular su propio régimen tributario, han de hacerlo tanto en el marco de la Constitución y del Estatuto de Autonomía, como de acuerdo con las previsiones del Concierto Económico (art. 41.1 EAPV) y de las leyes del Estado en materia tributaria [art. 41.2 a) y c) EAPV], las cuales no son “meramente habilitadoras para el ejercicio de una potestad tributaria que originariamente solo corresponde al Estado”, sino también “leyes ordenadoras” de los tributos que integran aquel régimen tributario propio, “porque la Constitución encomienda aquí al legislador no solo el reconocer un ámbito de autonomía al ente territorial, sino también garantizar la reserva legal que ella misma establece (art. 31.3)” [STC 118/2016, de 23 de junio,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artículo 72.4, párrafos tercero y cuarto, del Real Decreto Legislativo 2/2004 habilita a los ayuntamientos a exigir un recargo sobre los inmuebles de uso residencial que se encuentren desocupados con carácter permanente “por cumplir las condiciones que se determinen reglamentariamente”. Al amparo de esta ordenación legal, el artículo 14.5 de la Norma Foral 12/1989, de 5 de julio, del impuesto sobre bienes inmuebles de Gipuzkoa, según redacción dada por la Norma Foral 4/2012, de 4 de julio, que se ha transcrito en los antecedentes, establece la posibilidad de que los ayuntamientos apliquen un recargo en la cuota líquida del IBI, conforme a las siguientes reglas: i) recaerá sobre los “inmuebles de uso residencial que no constituyan la residencia habitual del sujeto pasivo o de terceros por arrendamiento o cesión de su uso”; ii) el sujeto pasivo será el mismo que el del IBI; iii) la cuantía del recargo será de hasta el 150 por 100 de la cuota líquida del citado impuesto; y iv) su devengo coincidirá con el del IBI, liquidándose anualmente, conjuntamente con la cuota de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la norma guipuzcoana especifica que “[a] efectos de la aplicación del presente recargo, se entenderá por inmuebles de uso residencial los locales que estén recogidos como de uso o destino de vivienda en el Catastro”, aclarando que “se presumirá que un inmueble de uso residencial es residencia habitual cuando a fecha de devengo del impuesto, en el padrón del municipio donde radique la vivienda conste que constituye la residencia habitual de su o sus ocupantes”. A lo que añade que “los ayuntamientos podrán establecer en sus ordenanzas fiscales supuestos a los que no resulte de aplicación el recargo previsto en el presente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adelantado, la redacción del precepto cuestionado proviene de la Norma Foral 4/2012, de 4 de julio, en cuyo preámbulo se justificaba la modificación del recargo por la situación de crisis económica y la necesidad de ingresos, destacando que la finalidad de la nueva redacción es “regular la aplicación del recargo de viviendas vacías contemplado en el apartado 5 del artículo 14 desde una vertiente distinta, cual es la de aplicar el citado recargo no sobre el concepto de vivienda vacía, sino sobre el concepto de vivienda que no constituye residencia habitual de un residente en el municipio donde se ubica. De esta manera se supera el difícil problema de la determinación del concepto de vivienda vacía que, remitido a desarrollo reglamentario, no ha visto la luz por su difícil concepción técnica”.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en la redacción previa a su modificación por la Norma Foral 4/2012 el recargo recaía sobre los “inmuebles de uso residencial que se encuentren desocupados con carácter permanente, por cumplir las condiciones que se determinen reglamentariamente”, sin que, mientras tuvo esta redacción, llegara a aplicarse, por no haberse dictado en el territorio histórico de Gipuzkoa norma alguna de desarrollo, al igual que ha sucedido con el recargo previsto en el artículo 72.4 del Real Decreto Legislativo 2/2004 que, aún hoy, gira en torno al inmueble de uso residencial “que se encuentre desocupado con carácter permanente, por cumplir las condiciones que se determinen reglamentariamente”, lo que, en ausencia del citado desarrollo, ha impedido su puesta en práctica.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ordenanza fiscal núm. 1 del Ayuntamiento de Zarautz, reguladora del IBI, reproduce en su apartado III el artículo 14.5 de la Norma Foral 12/1989, concretando el porcentaje del recargo dentro del máximo previsto, para fijarlo en un 100 por 100 para el año 2013 y en un 150 por 100 para 2014 y 2015; además, en uso de la habilitación contenida en el párrafo tercero del artículo 14.5 de la Norma Foral 12/1989 establece determinadas exenciones al recargo (entre otras, declara exentas las viviendas afectas a actividades dadas de alta en la matrícula del impuesto sobre actividades económicas; aquellas cuya titularidad corresponda a personas empadronadas en residencias de la tercera edad; las que formen parte de una herencia, durante el periodo de dos años a contar desde el fallecimiento; las ubicadas en edificios declarados en ruina; y las que acrediten un consumo mínimo de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órgano promotor de la cuestión alberga dos dudas fundamentales sobre la constitucionalidad del artículo 14.5 de la Norma Foral 12/1989. La primera le lleva a preguntarse si los principios de seguridad jurídica (art. 9.3 CE) y reserva de ley tributaria (arts. 31.3 y 133.1 y 2 CE) no resultan infringidos al carecer la norma de una definición de “residencia habitual”, lo que impide al contribuyente saber qué debe probar para demostrar que no se produce el hecho imponible del recargo. Según la Sala, la norma solo establece el medio de prueba de la “residencia habitual” mediante el empadronamiento, al que atribuye un valor que excede del que le reconoce el Reglamento de población y demarcación territorial de las entidades locales (Real Decreto 1690/1986,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hemos adelantado en el fundamento anterior, la norma cuestionada debe incardinarse en el ámbito de competencias tributarias de los territorios históricos del País Vasco, en particular, para la regulación de los tributos locales. Y, como hemos destacado en la reciente STC 118/2016, de 23 de junio, FJ 2 b), las normas forales fiscales que emanan de las juntas generales de los territorios históricos “tienen como función constitucional la de configurar, de forma armonizada, un régimen tributario foral que sustituye y replica, en cada uno de esos territorios, la estructura del sistema tributario del Estado” por lo que “han venido sustituyendo en los Territorios Históricos a las disposiciones legislativas del Estado en materia tributaria, fruto de la garantía de la foralidad que el texto constitucional consagra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Desde la perspectiva del principio de reserva de ley, en orden a valorar si el artículo 14.5 de la Norma Foral 12/1989 respeta los artículos 31.3 y 133.1 y 2 CE, debemos partir de que, como hemos concluido en el fundamento jurídico segundo, la relación entre la norma foral reguladora del IBI (y de resto de tributos locales) y las ordenanzas fiscales es análoga a la que estas mantienen con el Real Decreto Legislativo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general, hemos señalado que la reserva de ley tributaria es relativa o, lo que es lo mismo, limitada a la creación ex novo del tributo y a la determinación de los elementos esenciales o configuradores del mismo (entre otras muchas, SSTC 37/1981, de 16 de noviembre, FJ 4, y 150/2003, de 15 de junio, FJ 3). Por ello, dicha reserva de ley admite la colaboración del reglamento, siempre que sea indispensable por motivos técnicos o para optimizar el cumplimiento de las finalidades propuestas por la Constitución o por la propia Ley y siempre que se produzca en términos de subordinación, desarrollo y complementariedad [entre otras, SSTC 19/1987, de 17 de febrero, FJ 6 c), y 102/2005, de 20 de abril,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cuando se trata de la regulación de los tributos locales, la reserva de ley “ve confirmada su parcialidad, esto es, la restricción de su ámbito” [SSTC 19/1987, de 17 de febrero, FJ 4, y 233/1999, de 16 de diciembre, FJ 10 b)], pues la reserva de ley prevista en el artículo 31.3 CE no puede entenderse desligada “de las condiciones propias del sistema de autonomías territoriales que la Constitución consagra (art. 137) y específicamente de la garantía constitucional de la autonomía de los municipios (art. 140)”, tanto más cuando el artículo 133.2 CE establece la posibilidad “de que las Comunidades Autónomas y las corporaciones locales establezcan y exijan tributos, de acuerdo con la Constitución y las leyes”, procurando así la Constitución “integrar las exigencias diversas en este campo, de la reserva de Ley estatal y de la autonomía territorial, autonomía que, en lo que a las corporaciones locales se refiere, posee también una proyección en el terreno tributario, pues estas habrán de contar con tributos propios y sobre los mismos deberá la Ley reconocerles una intervención en su establecimiento o en su exigencia, según previenen los artículos 140 y 133.2 de la misma Norma fundamental” [STC 233/1999, de 16 de diciembre, FJ 10 b)]. Por tanto, “el ámbito de colaboración normativa de los municipios, en relación con los tributos locales, [es] mayor que el que podría relegarse a la normativa reglamentaria estatal”, por dos razones: porque “las ordenanzas municipales se aprueban por un órgano —el Pleno del Ayuntamiento— de carácter representativo [art. 22.2 d) LBRL]”; y porque “la garantía local de la autonomía local (arts. 137 y 140 CE) impide que la ley contenga una regulación agotadora de una materia —como los tributos locales— donde está claramente presente el interés local” (STC 132/2001, de 8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al principio de seguridad jurídica, en la STC 150/1990, FJ 8, ya precisamos que no se infringe “cuando un texto normativo no se plantea y resuelve por sí mismo de modo explícito todos los problemas que puede suscitar su aplicación. Sin perjuicio de la conveniencia de apurar, en la medida de lo posible, la regulación y solución de tales problemas con arreglo a estrictos criterios de técnica legislativa, su silencio en la ley no supone en todo caso un atentado contra la seguridad jurídica que el artículo 9.3 de la Constitución garantiza.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Sólo si, en el contexto ordinamental en que se inserta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en cuestión infringe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la vista de la doctrina expuesta, la duda del órgano judicial sobre si el artículo 14.5 de la Norma Foral 12/1989 vulnera los principios de reserva de ley tributaria y seguridad jurídica no puede compartirse. En primer lugar, hemos de tener presente que el concepto de “residencia habitual” se utiliza con frecuencia en la regulación de los diversos tributos, tanto en el territorio común como en el foral (a título de ejemplo, en el artículo 3 de la Norma Foral 2/2014, de 17 de enero, del impuesto sobre la renta de las personas físicas (IRPF) del territorio histórico de Gipuzkoa), así como en las normas delimitadoras de competencias, como es el caso, en lo que aquí interesa, del concierto económico (artículo 43). El órgano promotor de la cuestión prejudicial descarta acudir a ninguna de las definiciones de “residencia habitual” que se contienen en las normas señaladas, pero sin fundamentar esta posición, cuando lo cierto es que —como pone de manifiesto el Fiscal General del Estado— tales definiciones existen y están a disposición del intérprete de la norma debatida.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según hemos recordado recientemente en la STC 215/2016, de 15 de diciembre, FJ 14, “la Constitución no veda el uso de conceptos jurídicos indeterminados”, máxime si dichos conceptos aparecen concretados en otras normas del propio ordenamiento tributario. Y en este sentido, el artículo 11.2 de la Norma Foral 2/2005, de 8 de marzo, general tributaria, del territorio histórico de Gipuzkoa, dispone que “[e]n tanto no se definan por la normativa tributaria, los términos empleados en sus normas se entenderán conforme a su sentido jurídico, técnico o usual, según proceda”, de tal suerte que el respeto a los principios de reserva de ley y seguridad jurídica no exige a cada norma tributaria detallar exhaustivamente todos los conceptos que utiliza, cuando es posible interpretarlos a la luz de otras disposiciones normativas o bien siguiendo su sentido “técnico o usual”.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corresponderá a los tribunales de la jurisdicción contencioso-administrativa determinar qué ha de entenderse por “residencia habitual” a efectos del recargo sobre el IBI foral, para lo cual tanto la norma analizada como el ordenamiento en que se inserta ofrecen los elementos interpretativos suficientes. La Norma Foral 12/1989 aporta una precisión adicional, al señalar que el empadronamiento jugará como presunción de residencia habitual, acotando así el ámbito de indeterminación, de forma coherente con lo dispuesto en el artículo 53.1 del Real Decreto 1690/1986, de 11 de julio, por el que se aprueba el Reglamento de población y demarcación territorial de las entidades locales, cuando afirma que “[e]l padrón municipal es el registro administrativo donde constan los vecinos de un municipio. Sus datos constituyen prueba de la residencia en el municipio y del domicilio habitual en el mismo”. La referencia al padrón municipal como medio de prueba para acreditar el concepto de “residencia habitual” viene, pues, predeterminada normativamente y, en consecuencia, no constituye, en sede de interpretación de la legalidad ordinaria, un concepto jurídico tan indeterminado como pretende poner de manifiesto el órgano judicial que plantea la cuestión. Además, debe puntualizarse que la norma foral enjuiciada se limita a configurar, con valor de presunción iuris tantum, un medio de prueba para acreditar el concepto de “residencia habitual” como presupuesto de hecho que excluye la aplicación del recargo, pero no impide que éste pueda resultar probado por otros medios reconocidos en Derecho. En efecto, lo determinante en este caso es que dicha norma, además de expresar un modo de acreditar la residencia habitual del uso residencial que se haga de un inmueble sito en el término municipal correspondiente a través de una presunción, no limita la posibilidad de que el sujeto pasivo del impuesto pruebe su residencia habitual de otra manera distinta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 partir de la doctrina constitucional aplicable, el artículo 14.5 de la Norma Foral 12/1989 precisa de forma suficiente el supuesto de hecho del recargo mediante una norma del rango adecuado, por lo que ninguna tacha cabe formularle desde la vertiente de los principios de reserva de ley tributaria (arts. 31.3 y 133.1 y 2 CE) y seguridad jurídica (art. 9.3 CE), de tal suerte que la duda referida a estos preceptos resulta “notoriamente infundada”, en los términos en que tal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segunda duda, que atañe a los principios de capacidad económica e igualdad tributaria, recogidos en el artículo 31.1 CE, lleva al órgano judicial a cuestionar que la exacción de un recargo sobre el IBI, aunque tenga una finalidad extrafiscal (como acepta que es el caso), pueda basarse en que el inmueble gravado no sea la residencia habitual del sujeto pasivo o de un tercero. El Auto discute que esta circunstancia determine una mayor capacidad económica, lo que también puede suponer —sostiene— una vulneración de la igualdad tributaria, al establecer un gravamen diverso sobre índices de capacidad económica idénticos, sin una justificación objetiva y razonable. Considera que se introduce una diferencia de trato ante una situación homogénea, como es la titularidad de un inmueble, por el hecho de no tener residencia habitual en él, lo que puede obedecer a múltiples causas que no tienen por qué revelar una mayor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principio de capacidad económica, tampoco puede compartirse la duda planteada por el órgano judicial, a la luz de la doctrina constitucional sobre este principio. A este respecto, cabe recordar que la STC 37/1987, de 26 de marzo, FJ 13, resolviendo el recurso de inconstitucionalidad interpuesto contra el impuesto andaluz sobre tierras infrautilizadas, de carácter extrafiscal, al igual que el recargo que aquí estudiamos, afirmó que “no lesiona el principio de capacidad económica sólo porque recaiga sobre la utilización insuficiente o la obtención de rendimientos inferiores al óptimo legalmente señalado para las fincas rústicas, pues este hecho de significado social y económicamente negativo —que el legislador andaluz pretende combatir o corregir, entre otras medidas, a través del instrumento fiscal— es por sí mismo revelador de la titularidad de una riqueza real o potencial”.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puede citarse la STC 295/2006, de 11 de octubre, FJ 6, referida a la imputación de rentas inmobiliarias en el IRPF, en la que, con remisión a la STC 37/1987, señalamos que “los rendimientos de los inmuebles urbanos que contempla el precepto cuestionado integran la manifestación de una capacidad económica que, si bien no deriva de una renta real —no hay un ingreso efectivamente producido—, sí conecta con una renta potencial: cabe razonablemente entender que, en la medida en que tales inmuebles son susceptibles de generar un rendimiento al que ‘renuncia’ su titular —el que podría obtenerse mediante su arrendamiento— estamos ante una ‘renta potencial’ susceptible de ser sometida a imposición por el impuesto sobre la renta de las personas físicas, de la misma manera que —en relación con el impuesto andaluz de tierras infrautilizadas— hemos afirmado que la renuncia a obtener el rendimiento óptimo legalmente señalado para las fincas rústicas ‘es por sí mismo revelador de la titularidad de una riqueza real o potencial’ (STC 37/1987, de 26 de marzo, FJ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que antecede, este Tribunal ya tiene sentado que la no utilización de un bien o su uso no habitual pone de manifiesto una riqueza real o potencial cuyo gravamen, en lo que aquí interesa a través de un recargo en el IBI del territorio histórico de Gipuzkoa, es coherente con el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análisis desde la perspectiva del principio de igualdad conduce a la misma conclusión anterior, toda vez que, como hemos señalado reiteradamente (por todas, STC 167/2016, de 6 de octubre, FJ 5), el principio de igualdad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Así, el primer paso del denominado “juicio de igualdad” es el “juicio de comparabilidad”, que llevaría a examinar si quien destina una vivienda a residencia habitual (propia o de un tercero a quien se la ceda, por arrendamiento u otro título) y quien no lo hace se configuran como términos homogéneos de comparación. La respuesta ha de ser claramente negativa, toda vez que ambos se encuentran en circunstancias diferentes en cuanto al grado o tipo de utilización de la vivienda, que es un aspecto relevante de cara a determinar su contribución a los gastos públicos mediante un tributo que grava la titularidad del inmueble, como ponen de manifiesto los pronunciamientos citados anteriormente. Por tanto, al no hallarnos ante situaciones comparables, no puede reputarse lesionado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similitud con el caso que analizamos conviene, asimismo, mencionar el ATC 123/2009, de 28 de abril, en el que se abordaba la cuestión de inconstitucionalidad núm. 4351-2008 planteada sobre el artículo 72.4 del Real Decreto Legislativo 2/2004, por posible infracción de los artículos 9.3, 14, 31.1 y 133 CE, que son también los invocados por la Sala de lo Contencioso-Administrativo del Tribunal Superior de Justicia del País Vasco. Se examinaba en tal ocasión si la habilitación contenida en el artículo 72.4 del Real Decreto Legislativo 2/2004 para que los ayuntamientos, mediante ordenanza fiscal, estableciesen unos tipos de gravamen diferenciados en el IBI en función de los diferentes usos previstos por la normativa catastral para determinados bienes inmuebles, vulneraba la Constitución. Pues bien, en dicho Auto afirmamos que en el caso de inmuebles destinados a diferentes usos según la normativa catastral “no se cumple el requisito de que se trate de dos situaciones comparables” (FJ 4), añadiendo que “la Constitución otorga una especial protección a la vivienda (artículo 47), ordenando a los poderes públicos la adopción de las medidas necesarias encaminadas a tal fin, razón por la cual ningún óbice existe desde un punto de vista constitucional para que se otorgue un trato más favorable a un bien inmueble de uso residencial, circunstancia ésta que ya sería suficiente por sí sola para legitimar la disparidad de trato” (FJ 5). A pesar de que en tal caso la diferencia de trato se establecía entre inmuebles residenciales y no residenciales, distinción que reputábamos legítima desde el punto de vista del artículo 31.1 CE, la misma ratio nos lleva a aceptar ahora la posibilidad de que, dentro de los inmuebles residenciales, se diferencie entre los que constituyen residencia habitual y los que no, aplicando un mayor gravamen en el IBI a los segundos, como hace el artículo 14.5 de la Norma Foral 12/1989.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terminar, cabe citar el ATC 417/2005, de 22 de noviembre, que resolvía la cuestión de inconstitucionalidad núm. 2346-2005, planteada en relación con la Ley de la Asamblea de Extremadura 9/1998, de 26 de junio, del impuesto sobre suelo sin edificar y edificaciones ruinosas. Si bien la infracción constitucional que allí se estudiaba era la del artículo 6.3 de la Ley Orgánica de financiación de las Comunidades Autónomas, el tema enjuiciado era la aplicación de una distinta carga tributaria, por motivos extrafiscales, en función del uso (o falta de uso) de un bien inmueble, caso análogo al que se plantea aquí. Y en dicho Auto recalcamos, a partir de la doctrina de la STC 37/1987, que el tributo enjuiciado era una “medida extrafiscal que se adopta por la Comunidad Autónoma para la eficaz salvaguardia de la función social de la propiedad (art. 33.2 CE), en cumplimiento de la obligación de todos los poderes públicos de velar por la ‘utilización racional de todos los recursos naturales’ (art. 45.2 CE) y del mandato de que todos los españoles tengan derecho al disfrute de una vivienda digna y adecuada (art. 47 CE), para lo cual los poderes públicos han de establecer las condiciones y normas oportunas para hacer real y operativo ese derecho … [cuya] única y exclusiva finalidad es la de conseguir determinadas conductas de los ciudadanos, estimulando la construcción en los solares o la rehabilitación de edificaciones declaradas en ruina” (FJ 6). Y de la misma forma que en tal caso estimamos legítimo desincentivar fiscalmente el que no se diera a los solares un determinado uso, a igual conclusión se ha de llegar en el presente supuesto para las viviendas que no son residencia habitual del sujeto pasivo o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 base en la doctrina sentada en los antecedentes expuestos, podemos ya concluir que el recargo en el IBI para viviendas que no constituyen la residencia habitual del sujeto pasivo o de un tercero, regulado en el artículo 14.5 de la Norma Foral 12/1989, tampoco es contrario a los principios de capacidad económica e igualdad del artículo 31.1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