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febrero de 2017 tuvo entrada en este Tribunal un escrito al que se acompañaba el Auto de la Sección Primera de la Sala de lo Contencioso-Administrativo del Tribunal Superior de Justicia del País Vasco de 30 de diciembre de 2016, por el que se acordaba plantear una cuestión prejudicial sobre la validez del artículo 14.5 de la Norma Foral 12/1989, de 5 de julio, del impuesto de bienes inmuebles de Gipuzkoa, en la redacción dada por el artículo 1 de la Norma Foral 4/2012, de 4 de julio. Se adjuntaba, asimismo, testimonio de las actuaciones que han dado origen a la cuestión (recurso de apelación 648-2016 interpuesto contra la Sentencia del Juzgado de lo Contencioso-Administrativo núm. 2 de Donostia-San Sebastián de 14 de septiembre de 2015 en el procedimiento abreviado núm. 28-2014).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“Tratándose de bienes inmuebles de uso residencial que no constituyan la residencia habitual del sujeto pasivo o de terceros por arrendamiento o cesión de su uso, los ayuntamientos podrán exigir un recargo de hasta el 150 por 100 de la cuota líquida del Impuesto. Dicho recargo, que se exigirá a los sujetos pasivos de este tributo, se devengará en el mismo momento que el impuesto sobre el que se aplica y se liquidará anualmente, conjuntamente con la cuota.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efectos de la aplicación del presente recargo, se entenderá por inmuebles de uso residencial los locales que estén recogidos como de uso o destino de vivienda en el Catastro. Se incluirán los anexos a la vivienda siempre que formen una finca registral única. A los mismos efectos, se presumirá que un inmueble de uso residencial es residencia habitual cuando a fecha de devengo del impuesto, en el padrón del municipio donde radique la vivienda conste que constituye la residencia habitual de su o sus ocupantes.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anterior, los ayuntamientos podrán establecer en sus ordenanzas fiscales supuestos a los que no resulte de aplicación el recargo previsto en el presente apartado”.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resolución del Ayuntamiento de Zarautz de 23 de octubre de 2013 se desestimaron los recursos de reposición formulados por una serie de contribuyentes contra las liquidaciones del impuesto sobre bienes inmuebles (en adelante, IBI) correspondientes al ejercicio 2013, que incluían el recargo previsto en el artículo 14.5 de la Norma Foral 12/1989.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citada resolución fue objeto de un recurso contencioso-administrativo en el que se demandaba la anulación de las liquidaciones y la declaración de nulidad del apartado de la ordenanza municipal que regula el recargo aplicable a la cuota líquida del IBI para inmuebles de uso residencial que no constituyan la residencia habitual del sujeto pasivo o de un tercero, interesando la elevación de la cuestión al Tribunal Constitucional para que dilucide si es acorde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fue desestimado por la Sentencia del Juzgado de lo Contencioso-Administrativo núm. 2 de Donostia-San Sebastián de 14 de septiembre de 2015, según la cual no cabe sostener la duda de constitucionalidad basada en la contradicción con la legislación estatal, puesto que la norma controvertida se enmarca en el ámbito de regulación foral, habiéndose dictado en ejercicio de las potestades reconocidas a los territorios forales por la disposición adicional primera de la Constitución. Tampoco considera fundadas las alegaciones de los recurrentes sobre la vulneración de los principios de seguridad jurídica, capacidad de pago 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mencionada Sentencia fue objeto de un recurso de apelación en el que se interesaba que, previo planteamiento de una cuestión sobre la constitucionalidad del artículo 14.5 de la Norma Foral 12/1989, se dictara sentencia revocando la de instancia. Los recurrentes afirmaban que este precepto vulnera el artículo 31.1 CE, puesto que establece un recargo en el IBI que consideran basado en el criterio del empadronamiento, lo que introduce un agravio comparativo entre residentes y no residentes. Añaden que dicha norma crea realmente un impuesto nuevo que contradice lo previsto en el texto refundido de la Ley reguladora de las haciendas locales (Real Decreto Legislativo 2/2004, de 5 de marzo), pues el recargo que permite establecer a los ayuntamientos es tres veces mayor que el recogido en la norma estatal (artículo 72.4 del citado Real Decreto Legislativo 2/2004) que, además, —afirman— todavía no ha entrado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Una vez declarado concluso el procedimiento, mediante providencia de 13 de octubre de 2016, se acordó oír a las partes y al Ministerio Fiscal sobre la conveniencia de plantear una cuestión prejudicial acerca del artículo 14.5 de la Norma Foral 12/1989, en relación con los principios de seguridad jurídica y reserva de ley en materia tributaria (arts. 9.3 y 133.1 y 2 CE), así como de capacidad de pago e igualdad en la imposición de los tributos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Ministerio Fiscal presentó un escrito el 25 de octubre de 2016 en el que consideraba pertinente el planteamiento de la cuestión prejudicial, sin perjuicio del informe que pudiera emitirse en su día por la Fiscalía General del Estado. Tras formular los juicios de aplicabilidad y relevancia, que consideraba cumplidos, concluía que la norma plantea dudas con relación a los principios de seguridad jurídica, reserva de ley, capacidad de pago e igualdad en la imposición de tributos.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escrito de 2 de noviembre de 2016 el Ayuntamiento de Zarautz se opuso al planteamiento de la cuestión prejudicial, alegando que: i) el único interés de la parte apelante es que se plantee la cuestión; ii) en todo caso, debe oírse a las Juntas Generales de Gipuzkoa, como institución responsable de la norma controvertida; iii) no hay vulneración de los principios de seguridad jurídica y reserva de ley, pues no existe contradicción entre el artículo 14.5 de la Norma Foral 12/1989 y el del Real Decreto Legislativo 2/2004, negando, asimismo, que el empadronamiento opere como una presunción iuris et de iure, puesto que es factible desvirtuarla; y iv) tampoco se infringen los principios de capacidad de pago e igualdad en la imposición de tributos, ya que con el recargo debatido no se introduce ninguna discriminación que sea contraria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último, los recurrentes presentaron sus alegaciones el 3 de noviembre de 2016 en las que, remitiéndose a lo razonado en el recurso de apelación, instaban el planteamiento de la cuestión sobre el artículo 14.5 de la Norma Foral 12/1989, por entender que el fallo que debía pronunciarse depende de la validez de dicha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empieza descartando la alegación del Ayuntamiento de Zarautz según la cual los recurrentes solo pretenden el planteamiento de la cuestión prejudicial, puesto que los actos administrativos impugnados se han dictado en aplicación de una ordenanza que reproduce el contenido del artículo 14.5 de la Norma Foral 12/1989, por lo que el interés de la apelante va más allá de dicho planteamiento, resultando que esta norma es aplicable al caso y determinante del fallo, de forma que se superan los juicios de aplicabilidad y relevancia. Añade, en cuanto a la necesidad de escuchar a las Juntas Generales de Gipuzkoa, que dicho trámite se sustanciará en el proceso constitucional, conforme prevé la disposición adicional quinta de la Ley Orgánica 2/1979, de 3 de octubre,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continuación, expone el marco normativo aplicable e indica que una previsión similar al controvertido artículo 14.5 de la Norma Foral 12/1989 ha sido aprobada en los territorios históricos de Bizkaia y Álava/Araba, aunque con diferencias en cuanto al importe máximo del recargo que se permite establecer a los ayuntamientos. Asimismo, encuadra el recargo en el precedente del artículo 72.4 del Real Decreto Legislativo 2/2004, destacando que, a pesar del tiempo transcurrido desde su aprobación, todavía no ha sido aplicado, por no haberse desarrollado reglamentariamente el concepto de “inmuebles de uso residencial que se encuentren desocupados con carácter permanente”. Aclara que diversas sentencias de los tribunales han despejado cualquier duda sobre la competencia para efectuar tal desarrollo, que en el territorio común corresponde al Estado. Y pone de manifiesto varias diferencias entre ambas disposiciones como son: i) la norma foral no requiere un ulterior desarrollo reglamentario, a diferencia del artículo 72.4 del Real Decreto Legislativo 2/2004; ii) la norma estatal toma como elemento objetivo que el inmueble residencial “se encuentre desocupado con carácter permanente”, en tanto que la norma foral amplía el recargo a todos los inmuebles residenciales “que no constituyan la residencia habitual del propietario o de terceros por arrendamiento o cesión de uso”, lo que se presume a partir del empadronamiento; y iii) por último, la cuantía del recargo cambia, siendo de hasta el 150 por 100 en la de la Norma Foral 12/1989 y de un máximo del 50 por 100 en el artículo 72.4 del Real Decreto Legislativo 2/2004.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vista de lo anterior, explica las dudas de constitucionalidad que se le suscitan, comenzando por los principios de seguridad jurídica y reserva de ley en materia tributaria (arts. 9.3 y 133.1 y 2 CE). En primer término, desestima el argumento de los apelantes de que el artículo 14.5 de la Norma Foral 12/1989 contradice el artículo 72.4 del Real Decreto Legislativo 2/2004, pues ambas normas tienen distintos ámbitos competenciales y los territorios históricos pueden regular el sistema tributario local, de acuerdo con lo previsto en el concierto económico, en particular, su artículo 39, referido al IBI. Aclarado lo cual, la Sala afirma que el recargo discutido es una obligación tributaria accesoria de la obligación principal de satisfacer la cuota del IBI y que su delimitación también queda sujeta a la reserva de ley. El problema radica, a su juicio, en que el artículo 14.5 de la Norma Foral 12/1989 no define el hecho generador del recargo, es decir, el uso residencial no habitual, sino que “dispone el medio de prueba de ese hecho por remisión al Padrón del municipio atribuyendo, además, a ese censo un valor de prueba que excede el alcance de la presunción establecida en el artículo 53.1 del Real Decreto 1690/1986, de 11 de julio, por el que se aprueba el Reglamento de Población y Demarcación Territorial de las Entidades Locales”. Así, considera que el recargo se asienta en un concepto, el uso residencial habitual, que la norma no define con la suficiente certeza, sino que “lo suplanta o diluye en el valor, simplemente instrumental o de prueba, de la inscripción en el Padrón del municipio”. De esta forma, mientras que el dueño del inmueble residencial en el que aparezcan empadronados él mismo o terceros gozará del favor de la presunción de residencia, el dueño de un inmueble en el que no estén empadronados ni él ni terceros “se enfrentará en vano a la prueba del mismo hecho por los medios ordinarios, pues no sabrá con certeza a qué atenerse”. Según la Sala, esta indeterminación no puede subsanarse por remisión al concepto de residencia habitual previsto en el concierto económico, ni al de la normativa del IRPF, ni tampoco al concepto civil de domicilio. Tras lo cual el órgano judicial se pregunta “hasta qué punto puede la prestación accesoria (el recargo) exceder de la principal”, de manera que podríamos hallarnos —añade— frente a un impuesto nuevo que grava las viviendas que no constituyen la residencia habitual del sujeto pasivo o de terceros, lo que podría ser contrario a los artículos 9.3 y 133.1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Desde la perspectiva del artículo 31.1 CE las dudas del órgano judicial parten de que el recargo, a pesar de su finalidad extrafiscal, que no pone en duda, debería recaer sobre alguna fuente de capacidad económica. Y si bien está claro cuál es esta fuente en el IBI, resulta que el recargo está gravando la falta de ocupación del inmueble, el que este no constituya residencia habitual, y el Tribunal tiene dudas de que una única circunstancia, cual es la relativa al lugar del empadronamiento, sea determinante de una mayor capacidad económica. Le llama la atención, además, la desproporción del recargo, lo que puede afectar al principio de igualdad tributaria, poniendo en tela de juicio que la diferencia de trato entre dos titulares de inmuebles por el hecho de la residencia habitual respete dicho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concluye afirmando que “en el caso que nos ocupa resulta dudosa la constitucionalidad del recargo que impone la Norma Foral toda vez que, llegando a poder suponer hasta un 150 por 100 de la cuota líquida del Impuesto, no obedece a una fuente de capacidad económica cualitativamente distinta de aquella sobre la que recae el Impuesto y, además, lo hace en atención a un criterio exclusivo, el del empadronamiento (ajeno a aquellos que sirven para la fijación de la base imponible), que determina un tratamiento sustancialmente distinto entre quienes se encuentran en una situación comparable prescindiendo de la introducción de elementos correctores o que contribuyan a una mejor justificación de tal tratamiento diferenciado”.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expuesto, de acuerdo con los artículos 35 y 36 LOTC, la Sala de lo Contencioso-Administrativo del Tribunal Superior de Justicia del País Vasco acuerda plantear una cuestión prejudicial de validez respecto del artículo 14.5 de la Norma Foral 12/1989, por posible infracción de los principios de seguridad jurídica y reserva de ley en materia tributaria (arts. 9.3 y 133.1 y 2 CE), así como de capacidad de pago e igualdad en la imposición de tributos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abril de 2017 la Sección Cuarta acordó, a los efectos que determina el artículo 37.1 LOTC, oír al Fiscal General del Estado para que, en el plazo de diez días, alegara lo que considerara conveniente acerca de la admisibilidad de la presente cuestión prejudicial,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sus alegaciones el día 30 de mayo de 2017 interesando la inadmisión de la cuestión por resultar notoriamente infundada, por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manifestar que se cumplen los presupuestos procesales exigibles, analiza la primera objeción planteada por el órgano judicial, referida a los principios de seguridad jurídica y reserva de ley en materia tributaria (arts. 9.3 y 133.1 y 2 CE). A este respecto, considera que la norma cuestionada sí contiene los elementos esenciales requeridos para garantizar la reserva de ley, pues define el hecho imponible que genera la obligación del recargo, la base imponible, el tipo de gravamen, el sujeto pasivo y el devengo. Tras recordar que el principio de reserva de ley en materia tributaria tiene mayor flexibilidad que en el ámbito sancionador, con cita de la STC 121/2005, FJ 5, afirma que las dudas que expone el Auto son realmente de interpretación del alcance que debe darse al concepto de residencia habitual, lo que no puede convertirse —añade— en el objeto de la cuestión, como recuerda la STC 40/2014, FJ 2. A su juicio, la falta de desarrollo en la norma del término “residencia habitual” no impide a los órganos judiciales que conozcan de los recursos contra los actos de aplicación del recargo precisar el alcance de dicho concepto, para lo que pueden utilizar los criterios generales de interpretación, especialmente, la finalidad del precepto. Además, el Tribunal promotor no expresa por qué, si considera que el hecho del empadronamiento es una presunción iuris tantum, como se desprende al artículo 104.1 de la Norma Foral General Tributaria de Gipuzkoa, no pueden emplearse otros medios para acreditar la residencia habitual, con el alcance que corresponda, ya que el órgano judicial no está vinculado por la interpretación mantenida por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los principios de capacidad de pago e igualdad en la imposición de tributos (art. 31.1 CE), el Fiscal General del Estado entiende que la titularidad de una vivienda con y sin empadronamiento no constituyen términos homogéneos de comparación, a efectos del juicio de igualdad. Destaca que la propia Sala reconoce que un inmueble que no es residencia habitual del titular ni de terceros es indicativo de una especial capacidad económica, lo que se refuerza —continúa afirmando— a la vista de que el recargo enjuiciado presenta una finalidad extrafiscal, dirigida a promocionar el acceso a la vivienda, lo que debe tenerse en cuenta a la hora de enjuiciar su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su escrito de alegaciones afirmando que la cuestión planteada carece de solidez en la fundamentación de las dudas de constitucionalidad, por lo que interesa que, teniendo por cumplimentado el traslado conferido en virtud del artículo 37.1 LOTC, se dicte auto inadmitiéndola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del País Vasco plantea una cuestión prejudicial de validez respecto del artículo 14.5 de la Norma Foral 12/1989, de 5 de julio, del impuesto de bienes inmuebles de Gipuzkoa, en la redacción dada por el artículo 1 de la Norma Foral 4/2012, de 4 de julio, cuyo tenor literal se ha reproducido en los antecedentes. En relación con esta misma norma se han planteado también las cuestiones núms. 639-2017 y 640-2017, siendo la única diferencia entre las tres el periodo impositivo al que se refieren las liquidaciones tributarias que dan origen al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Fiscal General del Estado se opone, por las razones expuestas en los antecedentes, a la admisión a trámite de la cuestión, por estimarla notoriamente infundada, con arreglo al artículo 37.1 de la Ley Orgánica 2/1979, de 3 de octubre, del Tribunal Constitucional (LOTC, en adelante), de acuerdo con el cual, el Tribunal puede rechazar en trámite de admisión mediante Auto, sin otra audiencia que la del Fiscal General del Estado, la cuestión de inconstitucionalidad cuando fuera notoriamente infundada; precepto que resulta aplicable a las cuestiones prejudiciales de validez sobre normas forales fiscales de los territorios históricos, por remisión expresa de la disposición adicional quinta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el concepto de cuestión “notoriamente infundada” del artículo 37.1 LOTC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(por todos, AATC 145/2016, de 19 de julio, FJ 3, y 42/2017, de 28 de febrero, FJ 3). Pues bien, como se razonará a continuación, en el presente caso las dudas de constitucionalidad planteadas resultan manifiestamente infundadas. De ahí que, como solicita el Fiscal General del Estado, la cuestión deba inadmitirse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norma cuestionada se enmarca en el concierto económico con la Comunidad Autónoma del País Vasco (Ley 12/2002, de 23 de mayo), aprobado al amparo de la disposición adicional primera de la Constitución y del artículo 41.1 de la Ley Orgánica 3/1979, de 18 de diciembre, por la que se aprueba el Estatuto de Autonomía para el País Vasco (EAPV). El artículo 39 del concierto prevé que “[e]l Impuesto sobre Bienes Inmuebles se regulará por las normas que dicten las instituciones competentes de los territorios históricos y gravará los bienes de naturaleza rústica y urbana sitos en su respectivo Territorio Histórico”. Así pues, en los territorios históricos del País Vasco el impuesto sobre bienes inmuebles (IBI) se regula por las normas forales que aprueben las instituciones competentes, con sujeción a la Constitución y a los principios generales y reglas de armonización y colaboración contenidas en el concierto (artículos 2, 3 y 4). No hay que olvidar que las normas forales fiscales son “un tipo singular de normas reglamentarias, … fruto de un poder tributario derivado, cuyo ejercicio, como sucede también con el que corresponde en materia tributaria a las Comunidades Autónomas y a las entidades locales, no sólo queda condicionado por la Constitución, sino también por las normas que dicte el Estado en la materia” [STC 118/2016, de 23 de junio, FJ 2 b)]. En efecto, aun cuando la Constitución autoriza a los territorios históricos a establecer y regular su propio régimen tributario, han de hacerlo tanto en el marco de la Constitución y del Estatuto de Autonomía, como de acuerdo con las previsiones del concierto económico (art. 41.1 EAPV) y de las leyes del Estado en materia tributaria [art. 41.2 a) y c) EAPV], las cuales no son “meramente habilitadoras para el ejercicio de una potestad tributaria que originariamente solo corresponde al Estado”, sino también “leyes ordenadoras” de los tributos que integran aquel régimen tributario propio, “porque la Constitución encomienda aquí al legislador no solo el reconocer un ámbito de autonomía al ente territorial, sino también garantizar la reserva legal que ella misma establece (art. 31.3)” [STC 118/2016, de 23 de junio,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artículo 72.4, párrafos tercero y cuarto, del Real Decreto Legislativo 2/2004 habilita a los ayuntamientos a exigir un recargo sobre los inmuebles de uso residencial que se encuentren desocupados con carácter permanente “por cumplir las condiciones que se determinen reglamentariamente”. Al amparo de esta ordenación legal, el artículo 14.5 de la Norma Foral 12/1989, de 5 de julio, del impuesto sobre bienes inmuebles de Gipuzkoa, según redacción dada por la Norma Foral 4/2012, de 4 de julio, que se ha transcrito en los antecedentes, establece la posibilidad de que los ayuntamientos apliquen un recargo en la cuota líquida del IBI, conforme a las siguientes reglas: i) recaerá sobre los “inmuebles de uso residencial que no constituyan la residencia habitual del sujeto pasivo o de terceros por arrendamiento o cesión de su uso”; ii) el sujeto pasivo será el mismo que el del IBI; iii) la cuantía del recargo será de hasta el 150 por 100 de la cuota líquida del citado impuesto; y iv) su devengo coincidirá con el del IBI, liquidándose anualmente, conjuntamente con la cuota de este.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la norma guipuzcoana especifica que “[a] efectos de la aplicación del presente recargo, se entenderá por inmuebles de uso residencial los locales que estén recogidos como de uso o destino de vivienda en el Catastro”, aclarando que “se presumirá que un inmueble de uso residencial es residencia habitual cuando a fecha de devengo del impuesto, en el padrón del municipio donde radique la vivienda conste que constituye la residencia habitual de su o sus ocupantes”. A lo que añade que “los ayuntamientos podrán establecer en sus ordenanzas fiscales supuestos a los que no resulte de aplicación el recargo previsto en el presente apartado”.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adelantado, la redacción del precepto cuestionado proviene de la Norma Foral 4/2012, de 4 de julio, en cuyo preámbulo se justificaba la modificación del recargo por la situación de crisis económica y la necesidad de ingresos, destacando que la finalidad de la nueva redacción es “regular la aplicación del recargo de viviendas vacías contemplado en el apartado 5 del artículo 14 desde una vertiente distinta, cual es la de aplicar el citado recargo no sobre el concepto de vivienda vacía, sino sobre el concepto de vivienda que no constituye residencia habitual de un residente en el municipio donde se ubica. De esta manera se supera el difícil problema de la determinación del concepto de vivienda vacía que, remitido a desarrollo reglamentario, no ha visto la luz por su difícil concepción técnica”.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en la redacción previa a su modificación por la Norma Foral 4/2012 el recargo recaía sobre los “inmuebles de uso residencial que se encuentren desocupados con carácter permanente, por cumplir las condiciones que se determinen reglamentariamente”, sin que, mientras tuvo esta redacción, llegara a aplicarse, por no haberse dictado en el territorio histórico de Gipuzkoa norma alguna de desarrollo, al igual que ha sucedido con el recargo previsto en el artículo 72.4 del Real Decreto Legislativo 2/2004 que, aún hoy, gira en torno al inmueble de uso residencial “que se encuentre desocupado con carácter permanente, por cumplir las condiciones que se determinen reglamentariamente”, lo que, en ausencia del citado desarrollo, ha impedido su puesta en práctica.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la ordenanza fiscal núm. 1 del Ayuntamiento de Zarautz, reguladora del IBI, reproduce en su apartado III el artículo 14.5 de la Norma Foral 12/1989, concretando el porcentaje del recargo dentro del máximo previsto, para fijarlo en un 100 por 100 para el año 2013 y en un 150 por 100 para 2014 y 2015; además, en uso de la habilitación contenida en el párrafo tercero del artículo 14.5 de la Norma Foral 12/1989 establece determinadas exenciones al recargo (entre otras, declara exentas las viviendas afectas a actividades dadas de alta en la matrícula del impuesto sobre actividades económicas; aquellas cuya titularidad corresponda a personas empadronadas en residencias de la tercera edad; las que formen parte de una herencia, durante el periodo de dos años a contar desde el fallecimiento; las ubicadas en edificios declarados en ruina; y las que acrediten un consumo mínimo de energía).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órgano promotor de la cuestión alberga dos dudas fundamentales sobre la constitucionalidad del artículo 14.5 de la Norma Foral 12/1989. La primera le lleva a preguntarse si los principios de seguridad jurídica (art. 9.3 CE) y reserva de ley tributaria (arts. 31.3 y 133.1 y 2 CE) no resultan infringidos al carecer la norma de una definición de “residencia habitual”, lo que impide al contribuyente saber qué debe probar para demostrar que no se produce el hecho imponible del recargo. Según la Sala, la norma solo establece el medio de prueba de la “residencia habitual” mediante el empadronamiento, al que atribuye un valor que excede del que le reconoce el Reglamento de población y demarcación territorial de las entidades locales (Real Decreto 1690/1986, de 11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hemos adelantado en el fundamento anterior, la norma cuestionada debe incardinarse en el ámbito de competencias tributarias de los territorios históricos del País Vasco, en particular, para la regulación de los tributos locales. Y, como hemos destacado en la reciente STC 118/2016, de 23 de junio, FJ 2 b), las normas forales fiscales que emanan de las juntas generales de los territorios históricos “tienen como función constitucional la de configurar, de forma armonizada, un régimen tributario foral que sustituye y replica, en cada uno de esos territorios, la estructura del sistema tributario del Estado” por lo que “han venido sustituyendo en los territorios históricos a las disposiciones legislativas del Estado en materia tributaria, fruto de la garantía de la foralidad que el texto constitucional consagra (disposición adicional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Desde la perspectiva del principio de reserva de ley, en orden a valorar si el artículo 14.5 de la Norma Foral 12/1989 respeta los artículos 31.3 y 133.1 y 2 CE, debemos partir de que, como hemos concluido en el fundamento jurídico segundo, la relación entre la norma foral reguladora del IBI (y de resto de tributos locales) y las ordenanzas fiscales es análoga a la que estas mantienen con el Real Decreto Legislativo 2/2004.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general, hemos señalado que la reserva de ley tributaria es relativa o, lo que es lo mismo, limitada a la creación ex novo del tributo y a la determinación de los elementos esenciales o configuradores del mismo (entre otras muchas, SSTC 37/1981, de 16 de noviembre, FJ 4, y 150/2003, de 15 de junio, FJ 3). Por ello, dicha reserva de ley admite la colaboración del reglamento, siempre que sea indispensable por motivos técnicos o para optimizar el cumplimiento de las finalidades propuestas por la Constitución o por la propia Ley y siempre que se produzca en términos de subordinación, desarrollo y complementariedad [entre otras, SSTC 19/1987, de 17 de febrero, FJ 6 c), y 102/2005, de 20 de abril,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cuando se trata de la regulación de los tributos locales, la reserva de ley “ve confirmada su parcialidad, esto es, la restricción de su ámbito” [SSTC 19/1987, de 17 de febrero, FJ 4, y 233/1999, de 16 de diciembre, FJ 10 b)], pues la reserva de ley prevista en el artículo 31.3 CE no puede entenderse desligada “de las condiciones propias del sistema de autonomías territoriales que la Constitución consagra (art. 137) y específicamente de la garantía constitucional de la autonomía de los municipios (art. 140)”, tanto más cuando el artículo 133.2 CE establece la posibilidad “de que las Comunidades Autónomas y las corporaciones locales establezcan y exijan tributos, de acuerdo con la Constitución y las leyes”, procurando así la Constitución “integrar las exigencias diversas en este campo, de la reserva de Ley estatal y de la autonomía territorial, autonomía que, en lo que a las corporaciones locales se refiere, posee también una proyección en el terreno tributario, pues estas habrán de contar con tributos propios y sobre los mismos deberá la Ley reconocerles una intervención en su establecimiento o en su exigencia, según previenen los artículos 140 y 133.2 de la misma Norma fundamental” [STC 233/1999, de 16 de diciembre, FJ 10 b)]. Por tanto, “el ámbito de colaboración normativa de los municipios, en relación con los tributos locales, [es] mayor que el que podría relegarse a la normativa reglamentaria estatal”, por dos razones: porque “las ordenanzas municipales se aprueban por un órgano —el Pleno del Ayuntamiento— de carácter representativo (art. 22.2.d LBRL)”; y porque “la garantía local de la autonomía local (arts. 137 y 140 CE) impide que la ley contenga una regulación agotadora de una materia —como los tributos locales— donde está claramente presente el interés local” (STC 132/2001, de 8 de junio,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al principio de seguridad jurídica, en la STC 150/1990, FJ 8, ya precisamos que no se infringe “cuando un texto normativo no se plantea y resuelve por sí mismo de modo explícito todos los problemas que puede suscitar su aplicación. Sin perjuicio de la conveniencia de apurar, en la medida de lo posible, la regulación y solución de tales problemas con arreglo a estrictos criterios de técnica legislativa, su silencio en la ley no supone en todo caso un atentado contra la seguridad jurídica que el artículo 9.3 de la Constitución garantiza. Cada norma singular no constituye un elemento aislado e incomunicado en el mundo del Derecho, sino que se integra en un ordenamiento jurídico determinado, en cuyo seno, y conforme a los principios generales que lo informan y sustentan, deben resolverse las antinomias y vacíos normativos, reales o aparentes, que de su articulado resulten. Sólo si, en el contexto ordinamental en que se inserta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en cuestión infringe 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la vista de la doctrina expuesta, la duda del órgano judicial sobre si el artículo 14.5 de la Norma Foral 12/1989 vulnera los principios de reserva de ley tributaria y seguridad jurídica no puede compartirse. En primer lugar, hemos de tener presente que el concepto de “residencia habitual” se utiliza con frecuencia en la regulación de los diversos tributos, tanto en el territorio común como en el foral (a título de ejemplo, en el artículo 3 de la Norma Foral 2/2014, de 17 de enero, del impuesto sobre la renta de las personas físicas del territorio histórico de Gipuzkoa), así como en las normas delimitadoras de competencias, como es el caso, en lo que aquí interesa, del concierto económico (artículo 43). El órgano promotor de la cuestión prejudicial descarta acudir a ninguna de las definiciones de “residencia habitual” que se contienen en las normas señaladas, pero sin fundamentar esta posición, cuando lo cierto es que —como pone de manifiesto el Fiscal General del Estado— tales definiciones existen y están a disposición del intérprete de la norma debatida.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según hemos recordado recientemente en la STC 215/2016, de 15 de diciembre, FJ 14, “la Constitución no veda el uso de conceptos jurídicos indeterminados”, máxime si dichos conceptos aparecen concretados en otras normas del propio ordenamiento tributario. Y en este sentido, el artículo 11.2 de la Norma Foral 2/2005, de 8 de marzo, general tributaria, del territorio histórico de Gipuzkoa, dispone que “[e]n tanto no se definan por la normativa tributaria, los términos empleados en sus normas se entenderán conforme a su sentido jurídico, técnico o usual, según proceda”, de tal suerte que el respeto a los principios de reserva de ley y seguridad jurídica no exige a cada norma tributaria detallar exhaustivamente todos los conceptos que utiliza, cuando es posible interpretarlos a la luz de otras disposiciones normativas o bien siguiendo su sentido “técnico o usual”.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corresponderá a los Tribunales de la jurisdicción contencioso-administrativa determinar qué ha de entenderse por “residencia habitual” a efectos del recargo sobre el IBI foral, para lo cual tanto la norma analizada como el ordenamiento en que se inserta ofrecen los elementos interpretativos suficientes. La de la Norma Foral 12/1989 aporta una precisión adicional, al señalar que el empadronamiento jugará como presunción de residencia habitual, acotando así el ámbito de indeterminación, de forma coherente con lo dispuesto en el artículo 53.1 del Real Decreto 1690/1986, de 11 de julio, por el que se aprueba el Reglamento de población y demarcación territorial de las entidades locales, cuando afirma que “[e]l padrón municipal es el registro administrativo donde constan los vecinos de un municipio. Sus datos constituyen prueba de la residencia en el municipio y del domicilio habitual en el mismo”. La referencia al padrón municipal como medio de prueba para acreditar el concepto de “residencia habitual” viene, pues, predeterminada normativamente y, en consecuencia, no constituye, en sede de interpretación de la legalidad ordinaria, un concepto jurídico tan indeterminado como pretende poner de manifiesto el órgano judicial que plantea la cuestión. Además, debe puntualizarse que la norma foral enjuiciada se limita a configurar, con valor de presunción iuris tantum, un medio de prueba para acreditar el concepto de “residencia habitual” como presupuesto de hecho que excluye la aplicación del recargo, pero no impide que éste pueda resultar probado por otros medios reconocidos en Derecho. En efecto, lo determinante en este caso es que dicha norma, además de expresar un modo de acreditar la residencia habitual del uso residencial que se haga de un inmueble sito en el término municipal correspondiente a través de una presunción, no limita la posibilidad de que el sujeto pasivo del impuesto pruebe su residencia habitual de otra manera distinta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a partir de la doctrina constitucional aplicable, el artículo 14.5 de la Norma Foral 12/1989 precisa de forma suficiente el supuesto de hecho del recargo mediante una norma del rango adecuado, por lo que ninguna tacha cabe formularle desde la vertiente de los principios de reserva de ley tributaria (arts. 31.3 y 133.1 y 2 CE) y seguridad jurídica (art. 9.3 CE), de tal suerte que la duda referida a estos preceptos resulta “notoriamente infundada”, en los términos en que tal expresión ha sido entendida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segunda duda, que atañe a los principios de capacidad económica e igualdad tributaria, recogidos en el artículo 31.1 CE, lleva al órgano judicial a cuestionar que la exacción de un recargo sobre el IBI, aunque tenga una finalidad extrafiscal (como acepta que es el caso), pueda basarse en que el inmueble gravado no sea la residencia habitual del sujeto pasivo o de un tercero. El Auto discute que esta circunstancia determine una mayor capacidad económica, lo que también puede suponer —sostiene— una vulneración de la igualdad tributaria, al establecer un gravamen diverso sobre índices de capacidad económica idénticos, sin una justificación objetiva y razonable. Considera que se introduce una diferencia de trato ante una situación homogénea, como es la titularidad de un inmueble, por el hecho de no tener residencia habitual en él, lo que puede obedecer a múltiples causas que no tienen por qué revelar una mayor capacidad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al principio de capacidad económica, tampoco puede compartirse la duda planteada por el órgano judicial, a la luz de la doctrina constitucional sobre este principio. A este respecto, cabe recordar que la STC 37/1987, de 26 de marzo, FJ 13, resolviendo el recurso de inconstitucionalidad interpuesto contra el impuesto andaluz sobre tierras infrautilizadas, de carácter extrafiscal, al igual que el recargo que aquí estudiamos, afirmó que “no lesiona el principio de capacidad económica sólo porque recaiga sobre la utilización insuficiente o la obtención de rendimientos inferiores al óptimo legalmente señalado para las fincas rústicas, pues este hecho de significado social y económicamente negativo —que el legislador andaluz pretende combatir o corregir, entre otras medidas, a través del instrumento fiscal— es por sí mismo revelador de la titularidad de una riqueza real o potencial”.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puede citarse la STC 295/2006, de 11 de octubre, FJ 6, referida a la imputación de rentas inmobiliarias en el impuesto sobre la renta de las personas físicas, en la que, con remisión a la STC 37/1987, señalamos que “los rendimientos de los inmuebles urbanos que contempla el precepto cuestionado integran la manifestación de una capacidad económica que, si bien no deriva de una renta real —no hay un ingreso efectivamente producido—, sí conecta con una renta potencial: cabe razonablemente entender que, en la medida en que tales inmuebles son susceptibles de generar un rendimiento al que ‘renuncia’ su titular —el que podría obtenerse mediante su arrendamiento— estamos ante una ‘renta potencial’ susceptible de ser sometida a imposición por el impuesto sobre la renta de las personas físicas, de la misma manera que —en relación con el impuesto andaluz de tierras infrautilizadas— hemos afirmado que la renuncia a obtener el rendimiento óptimo legalmente señalado para las fincas rústicas ‘es por sí mismo revelador de la titularidad de una riqueza real o potencial’ (STC 37/1987, de 26 de marzo, FJ 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que antecede, este Tribunal ya tiene sentado que la no utilización de un bien o su uso no habitual pone de manifiesto una riqueza real o potencial cuyo gravamen, en lo que aquí interesa a través de un recargo en el IBI del territorio histórico de Gipuzkoa, es coherente con el principio de capacidad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análisis desde la perspectiva del principio de igualdad conduce a la misma conclusión anterior, toda vez que, como hemos señalado reiteradamente (por todas, STC 167/2016, de 6 de octubre, FJ 5), el principio de igualdad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Así, el primer paso del denominado “juicio de igualdad” es el “juicio de comparabilidad”, que llevaría a examinar si quien destina una vivienda a residencia habitual (propia o de un tercero a quien se la ceda, por arrendamiento u otro título) y quien no lo hace se configuran como términos homogéneos de comparación. La respuesta ha de ser claramente negativa, toda vez que ambos se encuentran en circunstancias diferentes en cuanto al grado o tipo de utilización de la vivienda, que es un aspecto relevante de cara a determinar su contribución a los gastos públicos mediante un tributo que grava la titularidad del inmueble, como ponen de manifiesto los pronunciamientos citados anteriormente. Por tanto, al no hallarnos ante situaciones comparables, no puede reputarse lesionado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similitud con el caso que analizamos conviene, asimismo, mencionar el ATC 123/2009, de 28 de abril, en el que se abordaba la cuestión de inconstitucionalidad núm. 4351-2008 planteada sobre el artículo 72.4 del Real Decreto Legislativo 2/2004, por posible infracción de los artículos 9.3, 14, 31.1 y 133 CE, que son también los invocados por la Sala de lo Contencioso-Administrativo del Tribunal Superior de Justicia del País Vasco. Se examinaba en tal ocasión si la habilitación contenida en el artículo 72.4 del Real Decreto Legislativo 2/2004 para que los ayuntamientos, mediante ordenanza fiscal, estableciesen unos tipos de gravamen diferenciados en el IBI en función de los diferentes usos previstos por la normativa catastral para determinados bienes inmuebles, vulneraba la Constitución. Pues bien, en dicho Auto afirmamos que en el caso de inmuebles destinados a diferentes usos según la normativa catastral “no se cumple el requisito de que se trate de dos situaciones comparables” (FJ 4), añadiendo que “la Constitución otorga una especial protección a la vivienda (artículo 47), ordenando a los poderes públicos la adopción de las medidas necesarias encaminadas a tal fin, razón por la cual ningún óbice existe desde un punto de vista constitucional para que se otorgue un trato más favorable a un bien inmueble de uso residencial, circunstancia ésta que ya sería suficiente por sí sola para legitimar la disparidad de trato” (FJ 5). A pesar de que en tal caso la diferencia de trato se establecía entre inmuebles residenciales y no residenciales, distinción que reputábamos legítima desde el punto de vista del artículo 31.1 CE, la misma ratio nos lleva a aceptar ahora la posibilidad de que, dentro de los inmuebles residenciales, se diferencie entre los que constituyen residencia habitual y los que no, aplicando un mayor gravamen en el IBI a los segundos, como hace el artículo 14.5 de la Norma Foral 12/1989.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terminar, cabe citar el ATC 417/2005, de 22 de noviembre, que resolvía la cuestión de inconstitucionalidad núm. 2346-2005, planteada en relación con la Ley de la Asamblea de Extremadura 9/1998, de 26 de junio, del impuesto sobre suelo sin edificar y edificaciones ruinosas. Si bien la infracción constitucional que allí se estudiaba era la del artículo 6.3 de la Ley Orgánica de financiación de las Comunidades Autónomas, el tema enjuiciado era la aplicación de una distinta carga tributaria, por motivos extrafiscales, en función del uso (o falta de uso) de un bien inmueble, caso análogo al que se plantea aquí. Y en dicho Auto recalcamos, a partir de la doctrina de la STC 37/1987, que el tributo enjuiciado era una “medida extrafiscal que se adopta por la Comunidad Autónoma para la eficaz salvaguardia de la función social de la propiedad (art. 33.2 CE), en cumplimiento de la obligación de todos los poderes públicos de velar por la ‘utilización racional de todos los recursos naturales’ (art. 45.2 CE) y del mandato de que todos los españoles tengan derecho al disfrute de una vivienda digna y adecuada (art. 47 CE), para lo cual los poderes públicos han de establecer las condiciones y normas oportunas para hacer real y operativo ese derecho … [cuya] única y exclusiva finalidad es la de conseguir determinadas conductas de los ciudadanos, estimulando la construcción en los solares o la rehabilitación de edificaciones declaradas en ruina” (FJ 6). Y de la misma forma que en tal caso estimamos legítimo desincentivar fiscalmente el que no se diera a los solares un determinado uso, a igual conclusión se ha de llegar en el presente supuesto para las viviendas que no son residencia habitual del sujeto pasivo o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con base en la doctrina sentada en los antecedentes expuestos, podemos ya concluir que el recargo en el IBI para viviendas que no constituyen la residencia habitual del sujeto pasivo o de un tercero, regulado en el artículo 14.5 de la Norma Foral 12/1989, tampoco es contrario a los principios de capacidad económica e igualdad del artículo 31.1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prejudicial de validez.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