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21 de septiembre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4292-2014 formulado por doña Virginia Aragón Segura, en nombre y representación de 2.393 municipios, respecto del artículo 1, apartados 3, 8, 9, 16, 21, 25, 30, 31, 36 y 38, así como del artículo 2, apartados 2 y 3, de la Ley 27/2013, de 27 de diciembre, de racionalización y sostenibilidad de la Administración local, por vulneración de la garantía constitucional de la autonomía local (arts. 137, 140 y 141 CE).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junio de 2014, doña Virginia Aragón Segura, en nombre y representación de 2.393 municipios, formula conflicto en defensa de la autonomía local con relación a varios preceptos de la Ley 27/2013, de 27 de diciembre,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en defensa de la autonomía local, tras razonar genéricamente que la  Ley 27/2013 vulneraría los artículos 137, 140 y 141 CE, desarrolla tres bloques de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25.2, 26.2 y 116 ter de la Ley 7/1985, de 2 de abril, reguladora de las bases del régimen local (en adelante, LBRL), en la redacción dada por los apartados 8, 9 y 31, respectivamente, del artículo 1 de la Ley 27/2013 producirían sobre los municipios un desapoderamiento competencial contrario a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25.2 LBRL infringiría los artículos 137 y 140 CE por limitar el ámbito de las competencias propias municipales a una serie de materias tasadas. Los ayuntamientos no podrían ejercer competencias propias en otros ámbitos. Las Comunidades Autónomas, en ejercicio de sus atribuciones sectoriales, no podrían asignárselas. Tal interpretación, sostenida por el Consejo de Estado (dictámenes 567/2013 y 338/2014), resultaría de la observación de que en el informe de la ponencia del Senado desapareció un apartado que admitía expresamente que las Comunidades Autónomas pueden atribuir competencias municipales propias en materias distintas de las enumeradas en el artículo 25.2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26.2 LBRL, aun interpretando que autoriza a la diputación a proponer la forma de prestación del servicio municipal correspondiente solo si cuenta con la anuencia de los ayuntamientos involucrados, incurriría en la vulneración denunciada por las siguientes razones: en primer lugar, interpretado en conexión con el artículo 116 bis, apartados 2 b) y 3 LBRL, en la redacción dada por el artículo 1.30 de la Ley 27/2013, “ensombrecería” la exigencia de “conformidad” municipal ante una concreta contingencia (incumplimiento de los objetivos de estabilidad presupuestaria y sostenibilidad financiera), teniendo en cuenta que tal conformidad es la que evitaría que el precepto fuera flagrantemente inconstitucional; en segundo lugar, al señalar que el municipio solo podrá prestar los servicios si la diputación considera acreditado el menor coste efectivo, estaría desapoderando a los municipios de cualquier capacidad decisoria sobre la prestación de servicios insertos en sus competencias propias y atribuyendo una suerte de derecho de veto a una Administración superior incompatible con la calificación como “propia” de la competencia municipal y con la autonomía municipal constitucionalmente garantizada; en tercer lugar, al conferir al Ministerio de Hacienda y Administraciones Públicas la “decisión” sobre la propuesta formulada por la diputación, produciría una intromisión en la autonomía local que no podría cubrirse con el paraguas de la eficiencia y que resultaría tan evidente que causa extrañeza que el legislador no haya sido consciente de las consecuencias institucionales de la operación; en cuarto lugar, aplicado en las Comunidades Autónomas uniprovinciales, supondría atribuir funciones típicamente municipales a un nivel de gobierno que actúa extramuros del sistema local en contra del principio de subsidiariedad; en quinto lugar, al distribuir competencias en función del coste efectivo, vendría a sustraer a los municipios tareas por razones ajenas a la voluntad e intereses municipales como son las ventajas de las economías de escala (se citan las SSTC 32/1981, 214/1989, 13/1992, 68/1996, 109/1998 y 132/2012, así como el dictamen 338/2014 del Consejo de Estado); en sexto lugar, al trasladar aquellos servicios a las diputaciones, estaría desapoderando de competencias a los municipios en favor de entidades locales representativas de segundo grado (no sujetas, en cuanto a su composición, a mecanismos de elección directa) y, con ello, impidiendo la exigencia de responsabilidades políticas en caso de gestión desarrollada de modo ilegal o, simplemente, de manera poco adecuada a juicio de los ciudadanos, lo que en última instancia desvirtuaría el principio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116 ter LBRL, sobre el coste efectivo de los servicios, constituiría el eje medular del nuevo sistema competencial local. En esta previsión se apoyarían, además del impugnado artículo 26.2 LBRL, los apartados 1 h) y 2 del artículo 36 LBRL, que prevén funciones provinciales de seguimiento de los costes efectivos de los servicios y facultades de coordinación incompatibles con la autonomía local constitucionalmente garantizada. El coste efectivo como criterio de distribución de competencias chocaría frontalmente con la noción constitucional de autonomía, que conlleva la capacidad de priorizar entre diversos servicios y, por tanto, de optar por incrementar el nivel de prestación de aquellos que el ente autónomo considere pertinentes en función de las demandas vecinales o de las características socio-económicas de la 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7.4, 57.3, 85.2, 92 bis y 116 bis LBRL, en la redacción dada por los apartados 3, 16, 21, 25 y 30 del artículo 1 de la Ley 27/2013, los artículos 213, tercer párrafo, y 218 del texto refundido de la Ley reguladora de las haciendas locales, aprobado por Real Decreto Legislativo 2/2004, de 5 de marzo, en la redacción dada por los apartados 2 y 3 del artículo 2 de la Ley 27/2013, así como la disposición adicional novena LBRL, en la redacción dada por el artículo 1.36 de la Ley 27/2013, establecerían mecanismos de tutela, condicionantes y controles de oportunidad contrarios a los artículos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7.4 LBRL vulneraría la garantía constitucional de la autonomía local por varias razones. En primer lugar, el precepto controvertido incumpliría la doctrina constitucional sobre los límites que el reconocimiento constitucional de la autonomía local impone al régimen de controles de la actividad local por parte del Estado o las Comunidades Autónomas (STC 4/1981). En segundo lugar, habría hurtado de cobertura jurídica a las “actividades complementarias” que venían desarrollando los municipios españoles (salvo las que puedan alojarse en el artículo 25.2 LBRL), con el consiguiente sacrificio del autogobierno municipal; y ello porque el precepto ocuparía el espacio de la anterior cláusula general de “actividades complementarias” (el derogado art. 28 LBRL), prohibiendo las “duplicidades”. El legislador habría trazado así un paralelismo entre las “actividades complementarias” y las “duplicidades” que resultaría inadmisible. En rigor duplicidad habría solo cuando dos poderes públicos territoriales prestan el mismo de tipo de acción a las mimas personas, grupos o entidades, que es algo distinto. En tercer lugar, el artículo 7.4 LBRL vulneraría los artículos 137 y 140 CE por condicionar el ejercicio de las denominadas competencias “impropias” a la ausencia de riesgos para la sostenibilidad financiera del ente local. Ciertamente, en los supuestos en que tales riegos fueran desproporcionados e impidieran materialmente ejercer aquellas competencias, puede admitirse que se imponga este límite a la autonomía local. No obstante, ello debería canalizarse mediante los planes económico-financieros regulados en la Ley Orgánica 2/2012, de 27 de abril, de estabilidad presupuestaria y sostenibilidad financiera, no a través de un informe vinculante. En cuarto lugar, los municipios promotores del conflicto destacan que el artículo 7.4 LBRL, en cuanto a los informes necesarios y vinculantes, dice solo que han de versar sobre duplicidades y sostenibilidad financiera. La intervención de las Administraciones a cuyo informe favorable se subordina el ejercicio de las competencias locales estaría excesivamente indeterminada, abriendo amplísimos márgenes de discrecionalidad. Ello supondría, a la postre, admitir muy diferentes aplicaciones, dando pie a que haya municipios que dispongan (por razones coyunturales y aleatorias) de un cartera de servicios íntegra y amplia, junto a otros con limitada capacidad de autogobierno. La supeditación del desempeño de tareas municipales a la voluntad de otra Administración sin establecer los parámetros legales dentro de los que debe moverse el informe de esa Administración resultaría por todo ello inconciliable con la garantía constitucional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57.3 LBRL vulneraría la autonomía constitucionalmente garantizada porque, al condicionar la constitución de consorcios a que suponga una asignación más eficiente de recursos económicos, impondría una limitación a la libre decisión del municipio sobre la forma de prestación de servicios públicos sin incorporar justificación alguna y sin fundamento constitucional. Chocaría igualmente con el derecho de los municipios a asociarse en aras al cumplimiento de sus competencias, recogida en la Carta Europea de la Autonomía Local (art. 10.1). Se citan las SSTC 32/1981 y 132/2012.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85.2 LBRL vulneraría la autonomía local constitucionalmente garantizada por primar la gestión por la propia corporación o mediante organismo autónomo frente a la entidad pública empresarial y la sociedad mercantil. Limitaría la capacidad de autoorganización del municipio sin justificación alguna (se cita la STC 214/1989).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lectura conjunta del artículo 92 bis LBRL y de los artículos 213 y 218 del Real Decreto Legislativo 2/2004 arrojaría la conclusión de que el Estado ha reinstaurado un servicio de inspección similar al que, regulado en el artículo 354 del Decreto de 24 de junio de 1955 por el que se aprobaba el texto refundido de las leyes de bases de régimen local, fue declarado inconstitucional. Habría recuperado los controles genéricos e indeterminados sobre la vida local (se cita la STC 4/1981).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92 bis LBRL, al atribuir a las Administraciones superiores funciones de selección y sanción de los funcionarios locales con habilitación nacional, convertiría los ayuntamientos en sucursales administrativas de aquellas. El interventor municipal sería de facto un representante de la Administración general del Estado en el ayuntamiento. El párrafo segundo del artículo 213 del Real Decreto Legislativo 2/2004, al atribuir al Gobierno la adopción de las normas sobre “procedimientos de control, metodología de aplicación, criterios de actuación, derechos y deberes del personal controlador y destinatarios de los informes”, reforzaría esta conclusión; los habilitados nacionales estarían llamados a desarrollar un control sobre la actividad local materialmente “externo” a costa de los recursos económicos del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impugnado artículo 213, párrafo tercero, del Real Decreto Legislativo 2/2004, al encomendar a los interventores locales la remisión de un informe-resumen con carácter anual a la Intervención General del Estado, colocaría al municipio en una posición de subordinación cuasi jerárquica excluyendo la participación y el conocimiento mismo de ese informe por parte de los órganos de gobierno del ayuntamiento (se citan las SSTC 214/1989 y 159/2011).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218 del Real Decreto Legislativo 2/2004 otorgaría al interventor más jerarquía que al propio alcalde al permitir la intervención de otra Administración (la que tenga atribuida la tutela financiera del municipio) en los casos en que la corporación no ajuste sus acuerdos a los reparos efectuados por el interventor. La resolución del presidente de la corporación debería poner fin a la vía administrativa, sin necesidad de acudir a la Administración superior, sin perjuicio de la vía jurisdiccional. Se vulneraría por ello la autonomía local y el carácter democrático de los ayuntamientos. Al prever la traslación al Tribunal de Cuentas de todas las resoluciones locales contrarias a los reparos efectuados por la intervención, establecería unos controles reiterativos y superfluos con la clara intención de dudar abiertamente del correcto cumplimiento de sus funciones por parte de los cargos representativos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116 bis LBRL vulneraría la garantía constitucional de la autonomía local por dos razones. En primer lugar, por obligar al ente local infractor de la disciplina fiscal a incorporar todas y cada una de las medidas enumeradas, lo que entrañaría una restricción absolutamente desproporcionada [se cita la STC 134/2011, FJ 14 A)]. En segunda lugar, por contradecir el artículo 21 de la Ley Orgánica 2/2012 sin respetar el artículo 135.5 CE; esta vulneración del sistema de fuentes conllevaría la de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disposición adicional novena LBRL, en un asunto tan relevante como la disolución o liquidación de entidades municipales, vulneraría los artículos 137 y 140 CE por soslayar la intervención municipal. También por establecer la disolución ope legis a partir de un criterio restrictivo (desequilibrio financiero de cada entidad individualmente considerada) que chocaría con la previsión general establecida en la Ley Orgánica 2/2012 (desequilibrio del conjunto de la hacienda municipal), a la que se remite el artículo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decimosexta LBRL, en la redacción dada por el artículo 1.38 de la Ley 27/2013, sería contraria al principio democrático en el ámbito local con vulneración consecuente de la autonomía local constitucionalmente garantizada. Permitiría que la aprobación de decisiones fundamentales corresponda a la junta de gobierno local con exclusión de los concejales de la oposición y sin la participación del órgano local en el que se residencia el principio representativo (se citan las SSTC 103/2013 y 161/2013). Se habría vulnerado igualmente el artículo 135 CE, por cuanto que la legislación básica habría contradicho el artículo 23.4 de la Ley Orgánica 2/2012, que atribuye al pleno la aprobación de los planes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9 de septiembre de 2014, el Pleno del Tribunal Constitucional acuerda admitir a trámite el presente conflicto en defensa de la autonomía local, dar traslado de la demanda y documentos presentados al Congreso de los Diputados, al Senado y al Gobierno, al objeto de que puedan personarse en el proceso y formular las alegaciones, y ordenar la publicación de la incoación del recurso en el “Boletín Oficial del Estado”; publicación que se produce en el núm. 223 de 13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18 de septiembre de 2014, el Presidente del Congreso de los Diputados comunica el acuerdo de la Mesa de la Cámara de personarse en el proceso ofreciendo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23 de septiembre de 2014, el Abogado del Estado, en la representación que legalmente ostenta, comparece en el proceso y solicita prórroga por el máximo legal del plazo concedido para formular alegaciones habida cuenta del número de asuntos que penden en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24 de septiembre de 2014, el Presidente del Senado comunica el acuerdo de la Mesa de la Cámara de personarse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septiembre de 2014 el Pleno del Tribunal Constitucional acuerda tener por personado al Abogado del Estado en la representación que legalmente ostenta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legalmente ostenta, presenta el 22 de octubre de 2014 en el registro general de este Tribunal Constitucional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brevemente el contenido del conflicto en defensa de la autonomía local, el Abogado del Estado realiza una serie de consideraciones destinada a contextualizar la Ley 27/2013. Describe ampliamente el marco normativo europeo y nacional relativo a la estabilidad presupuestaria y a la sostenibilidad financiera. A la vista del artículo 3 del Tratado de Estabilidad, Coordinación y Gobernanza en la Unión Europea y Monetaria, firmado por España el 2 de marzo de 2012, los presupuestos de las Administraciones públicas deben estar equilibrados o en superávit. Tras referirse a la legislación nacional adoptada a partir de 2001 en orden a la consecución de la estabilidad y crecimiento económicos, el Abogado del Estado se detiene en la incorporación de la exigencia de estabilidad presupuestaria en la Constitución (reforma del art. 135 CE de 27 de septiembre de 2011), que vino “justificada por el propio significado de la Unión Económica y Monetaria” (cita el dictamen 164/2012 del Consejo de Estado). La reforma representa la primera apertura expresa de la Constitución al ordenamiento europeo y consagra una nueva atribución de competencias. La Ley Orgánica 2/2012 desarrolla el artículo 135 CE e incorpora las exigencias europeas de estabilidad presupuestaria. Sus medidas resultan necesarias para dar cumplimiento, no solo al mandato constitucional, sino también a los compromisos de España ante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proviene del plan nacional de reformas 2013 remitido por el Consejo de Ministros a la Unión Europea, que pretende perseverar en la corrección de los desequilibrios presupuestarios y sentar las bases de la recuperación económica y de la creación de empleo. La Ley 27/2013 no es desarrollo estricto del nuevo artículo 135 CE, pero responde al objetivo de traducir sus principios en esta relevante parte de la Administración pública española a través de las siguientes medidas: actualización de las competencias municipales, fortalecimiento de las diputaciones provinciales, cobertura presupuestaria completa del coste de las competencias delegadas, garantías de estabilidad presupuestaria en los convenios interadministrativos y en el ejercicio de la iniciativa local para el desarrollo de actividades económicas, impulso del redimensionamiento del sector público local, gestión eficiente y sostenible de los servicios públicos, sistema retributivo responsable y homogéneo y fortalecimiento de la función interventora municipal y el control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títulos competenciales que soportarían la reforma, el Abogado del Estado se refiere a los apartados 18 y 14 del artículo 149.1 CE. El primero, sobre bases del régimen local, cubriría las regulaciones destinadas a concretar la autonomía constitucionalmente garantizada (arts. 137, 140 y 141.1 CE) y los restantes aspectos del régimen jurídico básico de todos los entes locales, “sin que quepa equiparar ‘régimen local’ o ‘régimen jurídico de las Administraciones locales’ con ‘autonomía local’” porque “los imperativos constitucionales derivados del artículo 137 CE, por un lado, y del artículo 149.1.18 CE, por otro, no son coextensos” (SSTC 11/1999, de 11 de febrero, FJ 2, y 240/2006, de 20 de julio, FJ 8). La regulación del régimen local incluida en los Estatutos autonómicos reformados a partir de 2006 debería entenderse “sin perjuicio de las relaciones que el Estado puede legítimamente establecer con todos los entes locales” (STC 31/2010, de 28 de junio, FJ 36). Las previsiones estatutarias “deben respetar en todo caso la competencia básica que al Estado corresponde en la materia” (STC 143/2013, de 11 de julio, FJ 36; se cita también la STC 103/2013, de 25 de abril). Tales previsiones interiorizarían el régimen local en cada Comunidad Autónoma en el sentido de que proporcionan guía al legislador autonómico, pero debería prevalecer la norma básica estatal, si entrara en conflicto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149.1.14 CE, sobre hacienda general, cubriría específicamente la normativa estatal sobre las instituciones comunes a las distintas haciendas, la coordinación entre las haciendas estatal y local y garantía de la suficiencia financiera de los entes locales prevista en el artículo 137 CE (STC 233/1999, de 16 de diciembre, FJ 4, y las Sentencias que allí se citan). La estrecha vinculación entre el régimen local y la hacienda local justificaría que la Ley de racionalización y sostenibilidad de la Administración local cite conjuntamente ambos títulos, tal como ha admitido la doctrina constitucional (STC 233/1999), sin perjuicio de que varias de sus disposiciones serían directamente incardinables en el artículo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específicamente después a las impugnaciones del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25.2, 26.2 y 116 ter LBRL, en la redacción dada por los apartados 8, 9 y 31, respectivamente, del artículo 1 de la Ley 27/2013, no producirían el desapoderamiento competencial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artículo 25.2 LBRL, el Abogado del Estado afirma que garantiza que las leyes atribuyan mínimos competenciales y, con ello, que doten de contenido a la garantía constitucional de la autonomía local. El listado de materias dentro de las que “en todo caso” los municipios deben disponer de competencias propias no puede interpretarse en el sentido limitador y excluyente que propone el recurso. Los apartados 3, 4 y 5 introducen condiciones legales que operan a partir de la nueva configuración que el artículo 135 CE ha producido sobre la legalidad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impugnación del artículo 26.2 LBRL, se afirma que el legislador estatal, en ejercicio de su amplio margen de configuración (SSTC 240/2006, 157/2011, 121/2012 y 108/2013) y en consonancia con la honda tradición de la provincia dentro del ordenamiento español (sucintamente resumida), ha optado por revitalizarla para la consecución de fines constitucionales (eficacia, eficiencia y estabilidad presupuestaria); favorece la gestión coordinada en detrimento de la gestión municipal aislada porque ello permite aplicar economías de escala y realizar una más eficiente asignación de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controvertida persigue la mayor calidad de los servicios al menor costo posible mediante cuatro elementos. En primer lugar, la gestión coordinada está prevista para municipios de menos de 20.000 habitantes en el entendido de que los de mayor población disponen de una organización e ingresos que permiten la prestación eficiente de los servicios públicos. En segundo lugar, tal gestión se aplica a servicios concretos, tasados y predeterminados. Se trata de servicios que, por su configuración y naturaleza, admiten una eficaz prestación desde una perspectiva supramunicipal. La prestación coordinada de un máximo de seis servicios en modo alguno puede suponer un desapoderamiento de las competencias municipales. En tercer lugar, el criterio determinante de la aplicación de estas fórmulas de cooperación es el “coste efectivo”, como elemento objetivo, ponderable, fácilmente calculable y cierto de acuerdo con el artículo 116 ter LBRL. En cuarto lugar, el legislador básico ha desarrollado el principio constitucional de coordinación (art. 103.1 CE) como técnica de acomodación de competencias en un Estado complejo.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orden de ideas, el Abogado del Estado destaca que el artículo 26.2 LBRL presupone y activa la intervención de tres Administraciones territoriales. En primer lugar, hay la intervención decisiva del propio municipio. El mecanismo solo actúa con su previo consentimiento y siempre de modo reversible; el municipio puede recuperar después la gestión aislada si acredita que está supondrá un menor coste efectivo. De modo que conservaría la facultad de “adherirse” o “descolgarse” de esta forma de coordinación por lo que su autonomía en nada resultaría afectada. En segundo lugar, hay la intervención de la Administración general del Estado; su competencia en materia de hacienda general y bases del régimen local se concreta aquí en la aprobación de la propuesta de la diputación, configurada como control de estricta legalidad que atiende exclusivamente al cumplimiento del criterio de suficiencia financiera precisado en el artículo 7 de la Ley Orgánica 2/2012. Hay también el informe preceptivo de la Comunidad Autónoma que ostenta la tutela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nuevo artículo 26.2 LBRL hallaría cobertura en las competencias atribuidas al Estado en materia de hacienda general y bases del régimen local (art. 149.1.14 y 18 CE) y no vulneraría la autonomía municipal (arts. 137 y 140 CE). También respetaría escrupulosamente el principio democrático. Los miembros de las diputaciones son concejales elegidos en cada uno de los municipios de la provincia de acuerdo con el número de votos obtenidos por cada partido, coalición o agrupación (arts. 204 y 205 de la Ley Orgánica 5/1985, de 19 de junio, del régimen electoral general). El carácter indirecto de esta elección no resta un ápice de legitimidad democrática como tampoco lo hace la elección indirecta del alcalde, por los concejales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del artículo 116 ter LBRL, el Abogado del Estado razona lo siguiente. El “coste efectivo” se calcula de modo absolutamente objetivo, cierto y seguro. En ejecución de la remisión reglamentaria incluida en la previsión impugnada, el proyecto de orden del Ministerio de Hacienda ha establecido criterios armónicos y comparables que arrojan una información fidedigna para cada uno de los servicios. Distingue los costes “directo” e “indirecto”. El primero incluye gastos corrientes de bienes y servicios, de personal y los derivados de amortización de inversiones y, en su caso, las cuotas de arrendamientos financieros. El segundo es el imputado a cada programa o grupo de programas en proporción al volumen de gasto. En casos de gestión indirecta de servicios públicos, se corresponde con la totalidad de las contraprestaciones que abona el ente local al concesionario así como las eventuales subvenciones de explotación o cobertura del precio. Si la retribución se percibe por medio de tarifas, el coste efectivo es el importe pagado por el usuario más, en su caso, las subvenciones de cobertura del precio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medida sería posibilitar que los ciudadanos y los entes locales conozcan el coste que supone la prestación de cada servicio por habitante. Se trata de dotar a los electores y a los responsables públicos de información muy valiosa. A su vez, el coste efectivo es determinante de la coordinación de determinadas competencias (art. 26.2 LBRL) y del contenido de los planes provinciales de cooperación para la prestación de obras y servicios (art. 36.2 LBRL). El efecto jurídico esencial del cálculo del coste efectivo se produce de forma “relativa” y “comparada”; la posibilidad de que la diputación asuma la coordinación de la prestación de determinados servicios si el municipio no los presta a un coste efectivo inferior. Tal consecuencia se produce siempre a través de la comparación de los costes efectivos de prestación del servicio de la concreta provincia y del municipio en particular. Por tanto, se tienen en cuenta elementos que concurren en el entorno económico y geográfico de ambas entidades, lo que no genera desigualdades ni discriminaciones con entidades enclavadas en otros entornos que pueden prestar sus servicios a costes inferiores.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en fin al Dictamen 338/2014, de 22 de mayo, del Consejo de Estado, sobre la interposición del conflicto en defensa de la autonomía local frente a la Ley 27/2013. Este órgano consultivo ha tenido la oportunidad de pronunciarse sobre el concepto de “coste efectivo” que ha sustituido al concepto de “coste estándar”, que había merecido consideraciones críticas en el Dictamen 567/2013, de 26 de junio, en relación con el anteproyecto de la Ley 27/2013. El nuevo concepto mereció la siguiente valoración: “a resultas de estas observaciones, el texto definitivo de la Ley 27/2013 ha sustituido el concepto de ‘coste estándar’ por el de ‘coste efectivo’ de los servicios en los artículos 26.2 y 116 ter LBRL. La noción de ‘coste efectivo’ introducida en el texto definitivo de la Ley 27/2013 es conceptualmente más precisa que la de ‘coste estándar’ y, desde esta perspectiva, los problemas que suscitaba la falta de concreción de este último concepto ya no se manifiestan en la misma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7.4, 57.3, 85.2, 92 bis y 116 bis LBRL, en la redacción dada por los apartados 3, 16, 21, 25 y 30 del artículo 1 de la Ley 27/2013, así como los artículos 213, tercer párrafo, y 218 del Real Decreto Legislativo 2/2004, en la redacción dada por los apartados 2 y 3 del artículo 2 de la Ley 27/2013, y la disposición adicional novena LBRL, en la redacción dada por el artículo 1.36 de la Ley 27/2013, no establecerían los mecanismos de tutela, condicionantes y controles de oportunidad a los que se refieren los municipios promotores del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artículo 7.4 LBRL, el Abogado del Estado parte de que ahora se distinguen tres tipos de competencias locales: las propias, que son las determinadas por ley (art. 25.2), las delegadas por el Estado y las Comunidades Autónomas (art. 27) y las demás, que son las que, diferenciadas de las anteriores, quedan sometidas al régimen del artículo 7.4 LBRL. La enumeración de competencias de una u otra clase supone un abanico lo suficientemente amplio para entender respetada la garantía constitucional de la autonomía local, que es el límite a la libertad de configuración con que cuenta el legislador básico. La cuestión de si las competencias locales deben atribuirse como propias o delegadas, respetando un contenido constitucional mínimo, pertenece a la libertad de configuración del legislador básico estatal. Con relación a las competencias distintas de las propias y de las atribuidas por delegación, el artículo 7.4 LBRL permitiría ampliar el ámbito de gestión de los entes locales con nuevas competencias que habrán de ejercerse con toda autonomía. Tal ampliación se sujeta a una serie de condiciones e informes que cuentan con una justificación objetiva y razonable: que no se produzca la ejecución simultánea del mismo servicio público y que no se ponga en riesgo la sostenibilidad financiera del conjunto de la hacienda municipal. Se habría conciliado así la garantía mínima prevista en los artículos 137, 140 y 141 CE con los condicionamientos que impone el artículo 135 CE. En definitiva, en modo alguno podría decirse que la nueva ordenación básica de las competencias locales, con la supresión del artículo 28 LBRL, vulnere la garantía constitucional mínima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57.3 LBRL pretendería poner coto a una situación de dispersión, falta de información y utilización abusiva de la figura del consorcio como modo de externalización de recursos y controles propios de las entidades locales que lo conforman. El artículo 10.1 de la Carta Europea de Autonomía Local no establece un derecho ilimitado y absoluto de asociación municipal sino en los términos y con los límites que en cada caso establezca el legislador nacional en base a la competencia atribuida al Estado en el artículo 149.1.18 CE (STC 50/1999, FJ 3). La Ley 27/2013 en absoluto supondría la imposición de sacrificios al asociacionismo local, ni siquiera condiciona de modo determinante e irreversible esta facultad de las entidades locales. Finalmente, en ningún caso la Constitución exigiría que la ley explicite las razones o motivos de la concreta regulación de una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del artículo 85.2 LBRL, se afirma que el Estado ha ejercido su competencia sobre régimen jurídico de las Administraciones públicas (art. 149.1.18 CE) y hacienda general (art. 149.1.14 CE) para garantizar que los entes locales elijan la forma de prestación de los servicios dentro de unos criterios de eficiencia, eficacia y sostenibilidad en el manejo de los fondos públicos; criterios que son lógicos, elementales y acordes con el artículo 135 CE. En consonancia con la doctrina constitucional (STC 143/2013, de 5 de abril, FJ 7), el precepto no coartaría la libertad de organización de la entidad local, limitándose a imponer dos requisitos a la opción favorable a formas prestacionales de carácter empresarial. Uno es material (mayor eficiencia y sostenibilidad de la prestación) y trasunto de los principios de eficacia administrativa (art. 103 CE) y eficiencia (art. 7.2 de la Ley Orgánica 2/2012). El otro requisito es formal; la justificación de esa opción en una memoria. Se afirma —con cita del Dictamen 338/2014 del Consejo de Estado— que la autonomía local no puede amparar la elección de modalidades de gestión directa de los servicios públicos locales menos eficientes o sostenibles; no se advierte qué ventajas aportaría la constitución de una entidad pública empresarial o sociedad mercantil local que resultara menos eficiente que la prestación del servicio por la propia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cuanto al artículo 92 bis LBRL y los artículos 213 y 218 del Real Decreto Legislativo 2/2004, el Abogado del Estado realiza primero una serie de consideraciones históricas. La Ley reguladora de las bases de régimen local desdibujó los antiguos cuerpos de secretarios, interventores y depositarios de la Administración local, que pasaron a denominarse “funcionarios con habilitación nacional”. No obstante, conservó sus funciones al considerar la secretaría, así como el control y fiscalización de la gestión económico-financiera, presupuestario y la contabilidad, tesorería y recaudación como tareas necesarias de toda corporación reservadas a “funcionarios con habilitación de carácter nacional” (art. 92.3). La disposición adicional segunda de la Ley 7/2007, de 12 de abril, del estatuto básico del empleado público (LEEP) transfirió a las Comunidades Autónomas las competencias sobre creación, clasificación y supresión de puestos de trabajo, la convocatoria de la oferta de empleo público, la provisión de puestos de trabajo y el régimen disciplinario. La excesiva dispersión normativa desembocó en el recurso excesivo y desproporcionado a expedientes disciplinarios, así como a una utilización abusiva de la libre designación y consiguientes ceses discrecionales de secretarios e interventores con menoscabo de las funciones nucleares de control de legalidad y financiero. Se ha generado así una situación de pérdida de la mínima independencia e imparcialidad imprescindibles para el correcto funcionamiento de la Administración local. Un informe del Tribunal de Cuentas (“BOE” de 5 de abril de 2007) propuso, entre otras medidas, el desarrollo reglamentario del régimen estatutario de los funcionarios de habilitación nacional, así como la reducción de los puestos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sumisión de la entidad local a la legalidad y al control financiero requiere de una regulación de los cuerpos de funcionarios encargados de asegurarla que potencie su imparcialidad e independencia. A este respecto, la Ley 27/2013, a la vez que deroga la disposición adicional segunda LEEP, da una nueva redacción al artículo 92 LBRL e introduce un nuevo artículo 92 bis LBRL. El precepto determina el conjunto de normas aplicables a estos funcionarios, establece el principio general de que los puestos de trabajo serán desempeñados por funcionarios y acota las funciones que en exclusiva corresponden a los funcionarios de carrera. El artículo 92 bis regula las líneas esenciales del régimen jurídico de estos funcionarios. La asunción de competencias por parte del Estado con relación a estos funcionarios en nada afectaría a la autonomía local; los municipios quedan subordinados, no al Estado, sino a la ley. A su vez, tal regulación podría calificarse de básica a la vista de las SSTC 25/1983, 214/1999 y 37/2002 y del dictamen 567/2013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(STC 233/1999), el artículo 213 resultaría amparado por el artículo 149.1.14 CE, tal como ha precisado el dictamen 338/2014 del Consejo de Estado; la previsión sería consecuencia, no de la caracterización de los interventores de la Administración local como funcionarios con habilitación de carácter nacional, sino de la competencia estatal sobre la hacienda general. Tal título facultaría al Estado para establecer mecanismos de fiscalización y control interno sobre los entes locales de carácter uniforme que permitan formular políticas de alcance general o adoptar medidas en relación con sus competencias. La previsión controvertida no constituiría un estricto y verdadero control sobre la Administración local, sino un mandato al gobierno para que armonice mecanismos, procedimientos y criterios de seguimiento y control de la actividad económica financiera con la razonable finalidad de que todas las entidades locales apliquen el mismo sistema de verificación y adaptación a la legalidad de su actividad financiera. La remisión reglamentaria en absoluto implicaría una relación de subordinación jerárquica entre Administraciones, sino una forma de coordinación e interacción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218 del Real Decreto Legislativo 2/2004, la función de información al pleno que allí se regula coadyuvaría a que el órgano representativo de la corporación local cuente con más trasparencia y criterio decisorio. La nueva redacción introduce tres formas nuevas de control. Respecto de la primera (introducción en el orden del día de las decisiones del Presidente contrarias a los reparos efectuados), se destaca su funcionalidad; que todos los miembros del pleno tomen cabal conocimiento de los reparos realizados y puedan ejercer funciones de control político. En cuanto a la segunda (elevación de las discrepancias a la Administración responsable de la tutela financiera), el Abogado del Estado insiste en que la doctrina constitucional ha respaldado las competencias de tutela financiera de los entes locales. Con relación a la tercera (elevación al Tribunal de Cuentas de las resoluciones y acuerdos adoptados por el pleno y el Presidente contrarios a los reparos efectuados), se subraya que los municipios preservan la capacidad decisoria respecto de los reparos realizados por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Respecto de la impugnación del artículo 116 bis LBRL, el Abogado del Estado razona que el precepto sería un desarrollo singularizado —que atiende a la especificidad de los entes locales— del artículo 21 de la de la Ley Orgánica 2/2012, que regula el contenido mínimo del plan económico-financiero de toda Administración incumplidora de los objetivos de estabilidad presupuestaria, de deuda pública o de la regla de gasto. La Ley reguladora de las bases de régimen local incluiría así el desarrollo de un precepto que admite incluso el complemento reglamentario, a tenor de la disposición final primera de la Ley Orgánica 2/2012. No incurriría por ello en vulneración de la reserva de ley orgánica prevista en el artículo 135.5 CE. La reserva de ley orgánica admite un cierto grado de colaboración internormativa (STC 137/1986, de 6 de noviembre). Se trae a colación la doctrina constitucional sobre el artículo 122.1 CE (SSTC 38/1982, de 22 de junio; 60/1986, de 20 de mayo; 108/1986, de 26 de julio; 56/1990, de 29 de marzo, y 224/1993, de 1 de julio). Se reserva a un texto unitario —la Ley Orgánica del Poder Judicial— la configuración de los distintos órdenes jurisdiccionales, la definición genérica de su ámbito de conocimiento litigioso, los tipos genéricos de órgano judicial y las divisiones territoriales en que se organiza el Estado a efectos judiciales. No obstante, la reserva no alcanza a la creación en concreto de órganos judiciales, la planta ni la demarcación.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artículo 116 bis incluye una regulación más pormenorizada del plan regulado por la Ley Orgánica 2/2012 que no lesiona la autonomía local. Refiriéndose al citado Dictamen del Consejo de Estado, el Abogado del Estado razona que el contenido mínimo de los planes económico-financieros de los entes locales se explica en el contexto de una situación de incumplimiento de los objetivos de estabilidad presupuestaria, de deuda pública o de la regla de gasto. Corresponde al propio ente local incumplidor concretar las competencias que deben suprimirse que, en todo caso, no podrán ser las ejercidas como propias o por delegación [letra a)]. La gestión integrada o coordinada de los servicios obligatorios es una elemental medida de reducción de costes ante el incumplimiento de los parámetros de estabilidad presupuestaria o sostenibilidad financiera [letra b)]. Aparece enunciada con amplitud suficiente para que los entes locales puedan decidir las formas de gestión más apropiadas en cada caso. Las entidades locales siguen teniendo capacidad para determinar las fuentes y la cuantía del “incremento de ingresos” necesario para financiar los servicios obligatorios [letra c)]. También permanece intacta su capacidad de decisión para la adopción de medidas de “racionalización organizativa” [letra d)], sin perjuicio de la necesidad de contemplar la supresión de entidades de ámbito territorial inferior al municipio [letra e)] o la fusión con municipios colindantes [letra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a las funciones atribuidas a la diputación provincial (o entidad equivalente) de asistencia a los entes locales y colaboración con la Administración encargada de la tutela financiera, en la elaboración y en el seguimiento de las medidas del plan económico-financiero (apartado 3 del art. 116 bis LBRL). No se incumpliría la competencia de la Comunidad Autónoma para ejercer la tutela financiera (art. 23.4 de la Ley Orgánica 2/2012). La LBRL coloca a la diputación provincial en una posición de mera colaboración, que se funda en las nuevas tareas asignadas a estos entes locales (art. 36). Su colaboración en la confección y seguimiento de estos planes, que pueden implicar fusión de municipios, es imprescindible. Se afirma que tal colaboración debería producirse en todo caso, aunque no estuviera específicamente prevista en la Ley, por virtud de las funciones que corresponden a la diputación provincial con carácter general. Respecto de la alegada vulneración del artículo 150 del Estatuto de Autonomía de Cataluña (EAC), el Abogado del Estado se remite a anteriores alegaciones y a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Respecto de la disposición adicional novena LBRL, el Abogado del Estado señala, en primer término, que nada se alega respecto de los apartados 1, 3 y 4; los municipios recurrentes habrían puesto el foco en el apartado 2, que prevé la disolución y liquidación ope legis de entidades municipales. Respecto de esta impugnación, el Abogado del Estado se remite al dictamen 338/2014 del Consejo de Estado, añadiendo las consideraciones siguientes. El desequilibrio financiero de una entidad del sector público local no le afecta solo a ella; repercute sobre el conjunto de la hacienda local en la medida en que la corporación territorial habrá de corregirlo. La disposición controvertida permite que el plan de corrección del desequilibrio prevea aportaciones patrimoniales por parte de la corporación local “matriz” con la condición de que esté en una situación saneada, equilibrada y sostenible y con el fin de que, ejecutado el plan, tal situación quede subsanada. Se insiste en que los plazos se amplían en un año cuando se trata de servicios esenciales para la comunidad. A su vez, los recurrentes confundirían sostenibilidad con estabilidad. No se podría aceptar que la previsión impugnada contraviene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disposición adicional decimosexta LBRL, introducida por el artículo 1.38 de la Ley 27/2013, el Abogado del Estado menciona primero las SSTC 103/2013 y 161/2013, de 26 de septiembre; su doctrina reforzaría el carácter democrático de la junta de gobierno a la vez que subrayaría su configuración, no solo como órgano administrativo o ejecutor de las decisiones del pleno, sino también como titular de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impugnada no vulneraría el principio democrático (art. 1.1 CE), al que se conectan el artículo 23 CE y la vertiente organizativa de la autonomía local. En primer lugar, la excepcionalidad es el presupuesto para que la aprobación de los instrumentos enumerados pase del pleno a la junta de gobierno local. Los términos manejados son suficientemente expresivos de que la medida sirve solo para afrontar situaciones de excepcional y urgente necesidad por motivos financieros, cuando está en riesgo la estabilidad presupuestaria y la sostenibilidad de la entidad local. La medida evitaría demoras en la necesaria y urgente aprobación de instrumentos básicos de contenido complejo y técnico que precisan una decisión rápida en el contexto de los problemas financieros. Evitaría los daños que la inacción del pleno podría causar al interés municipal así como la aplicación de medidas coactivas mucho más intensas; las previstas en la Ley Orgánica 2/2012. En segundo lugar, la junta de gobierno local es un órgano que cuenta con legitimidad democrática y su decisión podría ser censurada y dejada sin efecto por el pleno. El precepto señala claramente que debe darse cuenta al pleno de la aprobación de aquellos instrumentos. Conforme a la Ley reguladora de las bases del régimen local, la junta de gobierno local “responde políticamente ante el Pleno de su gestión de forma solidaria, sin perjuicio de la responsabilidad directa de cada uno de sus miembros por su gestión” (art. 126.3) y a este órgano corresponde “el control y fiscalización de los órganos de gobierno” [art. 22.2 a)]. No existiría duda sobre la primacía de este órgano representativo; una decisión negativa del pleno a cualquiera de estos acuerdos los dejaría sin efecto. La decisión legal sería, por tanto, necesaria, adecuada a la finalidad pretendida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disposición adicional decimosexta LBRL, de la misma manera que no vulnera el principio democrático, no vulneraría tampoco el artículo 23.2 CE; las personas integrantes de la corporación local pueden ejercer su derecho a ser informadas y pueden también proponer la censura o censurar las decisiones adoptadas por los órganos de carácter ejecutivo. Conforme a lo establecido por el Tribunal Constitucional, las sesiones de las juntas han de ser públicas para que tanto los concejales como los ciudadanos conozcan su desarrollo. Tampoco concurriría la vulneración del principio de autonomía local. Al revés, el propósito de la norma sería coadyuvar a la solución de un grave problema financiero sin prever decisiones estatales en sustitución de las locales. A su vez, se prevé que sean órganos democráticos y representativos (el alcalde y los concejales de la junta) quienes adopten las decisiones. Que se traslade la competencia del pleno a la junta podrá ser controvertido, pero no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septiembre de 2017,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Doña Virginia Aragón Segura, Procuradora de los Tribunales, en nombre y representación de 2.393 municipios, formula conflicto en defensa de la autonomía local con relación a varios preceptos de la Ley 7/1985, de 2 de abril, reguladora de las bases del régimen local (LBRL) y del texto refundido de la Ley reguladora de las haciendas locales, aprobado por Real Decreto Legislativo 2/2004, de 5 de marzo, en la redacción dada por la Ley 27/2013, de 27 de diciembre, de racionalización y sostenibilidad de la Administración local, por vulneración de la autonomía local constitucionalmente garantizada (arts. 137, 140 y 141 CE). El Abogado del Estado no se opone a la admisión a trámite del conflicto ni, por tanto, cuestiona el cumplimiento de los artículos 75 bis a 75 quater LOTC, pero solicita su desestimación por considerar que los preceptos impugnados no vulneran los artículos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es hasta la fecha el primer conflicto en defensa de la autonomía local formulado respecto de bases del régimen local y legislación estatal sobre haciendas locales. Bien porque este específico proceso constitucional no había sido aún creado por la Ley Orgánica 7/1999, de 21 de abril, bien porque los entes locales no trataron de incoarlo, lo cierto es que ni la Ley reguladora de las bases de régimen local ni el Real Decreto Legislativo 2/2004 ni sus diversas reformas habían sido objeto hasta el momento de conflictos en defensa de la autonomía local. El único precedente de un conflicto de este tipo admitido a trámite respecto de una ley estatal se refería a una norma dictada al amparo de la competencia estatal para legislar sobre el planeamiento urbanístico de las Ciudades Autónomas (STC 240/2006,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ha sufrido varias modificaciones que, no obstante, se refieren a preceptos no impugnados por los municipios recurrentes, sin que, por tanto, puedan afectar al objeto del presente proceso constitucional. Es el caso de la disposición transitoria séptima, modificada por la Ley 18/2015, de 9 de julio; y de la disposición final segunda, que añade la disposición adicional vigésima a la Ley 30/1992, derogada por la Ley 39/2015, de 1 de octubre, del procedimiento administrativo común de las Administraciones públicas [disposición derogatoria única, apartado 2 a)]. Por otra parte, el Real Decreto-ley 10/2015, de 11 de septiembre, ha reformado el apartado 2 del artículo 92 bis LBRL, introducido por el artículo 1.27 de la Ley 27/2013. Los municipios actores han impugnado el nuevo artículo 92 bis LBRL, pero alegando únicamente con relación a los apartados que centralizan determinadas tareas relativas a los funcionarios locales con habilitación de carácter nacional. Por tanto, tampoco esta reforma ha afectado al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27/2013 ha sido ya objeto de las SSTC 41/2016, de 3 de marzo; 111/2016, de 9 junio; 168/2016, de 6 de octubre; 180/2016, de 20 de octubre; 44/2017, de 17 de abril; 45/2017, de 17 de abril; 54/2017, de 11 de mayo; 93/2017, de 6 de julio y 101/2017, de 20 de julio, resolutorias de los recursos de inconstitucionalidad interpuestos, respectivamente, por la Asamblea de Extremadura (núm. 1792-2014), el Gobierno de Andalucía (núm. 1959-2014), el Gobierno del Principado de Asturias (núm. 1995-2014), el Parlamento de Navarra (núm. 2001-2014), diputados del Congreso (núm. 2002-2014), el Parlamento de Andalucía (núm. 2003-2014), el Parlamento de Cataluña (núm. 1996-2014), el Gobierno de Cataluña (núm. 2006-2014) y el Gobierno de Canarias (núm. 2043-2014). Las indicadas Sentencias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conflicto impugna previsiones que ya han sido declaradas inconstitucionales y nulas por alguna de aquellas Sentencias: el artículo 26.2 LBRL, en la redacción dada por el artículo 1.9 de la Ley 27/2013,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[STC 111/2016, FJ 12 d)]; y la disposición adicional decimosexta LBRL, introducida por el artículo 1.38 de la Ley 27/2013 [STC 111/2016, FJ 8 f)]. De acuerdo con la doctrina constitucional [entre otras, las precitadas SSTC 111/2016, FJ 2 a); 168/2016, FJ 2 a); 180/2016, FJ 3 a); 44/2017, FJ 2 a); 45/2017, FJ 2 a); 54/2017, FJ 2 a), y 93/2017, FJ 2 a)], la expulsión del ordenamiento jurídico de estas previsiones determina la pérdida sobrevenida de objeto de las impugnaciones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una pauta no infrecuente (a la que se han ajustado las SSTC 111/2016, 168/2016, 180/2016, 44/2017, 45/2017, 54/2017, 93/2017 y 101/2017), cabe dar aquí por reproducida la doctrina de las SSTC 41/2016 [FFJJ 9 y 11 b)], 111/2016 (FFJJ 11 y 12), 45/2017 [FJ 3 b)], 54/2017 [FJ 4 b)] y 101/2017 [FJ 5 a)] sobre el significado y alcance de la garantía constitucional de la autonomía local. También los fundamentos jurídicos que la STC 41/2016 dedica a la presentación de la Ley 27/2013 (FFJJ 2 y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ayuntamientos recurrentes han promovido el presente conflicto en cuanto titulares de una esfera propia de autonomía constitucionalmente garantizada (arts. 137 y 140 CE) y en defensa de ella: el conflicto en defensa de la autonomía local como tipo de proceso constitucional tiene la “misión exclusiva de refuerzo de un ámbito subjetivo de autonomía”, lo que explica tanto el estricto régimen de legitimación establecido —“pueden acceder a esta vía cualificada de tutela aquellos entes locales que, viéndose directamente concernidos por la norma impugnada, alcancen una determinada representatividad de entre todos los entes afectados”— como la restricción de su objeto —“puede articularse en razón de un único motivo de inconstitucionalidad”, la vulneración de la autonomía local, sin que pueda “alegarse con ocasión del mismo otras vulneraciones distintas del texto constitucional”— (STC 27/2016, de 18 de febrero, FJ 3; en el mismo sentido, con otras palabras: SSTC 37/2014, de 11 de marzo, FJ 3; 95/2014, de 12 de junio, FJ 5; 132/2014, de 22 de julio, FJ 5, y 240/2016, FJ 3). En cambio, al interponer los recursos de inconstitucionalidad contra la Ley 27/2013 que este Tribunal ya ha resuelto, las instituciones autonómicas y los diputados del Congreso, cuando han razonado incumplimientos de los artículos 137, 140 y 141 CE, no han defendido intereses propios: “la facultad de promover el recurso de inconstitucionalidad no la otorga la Constitución en atención a un interés propio de quienes la reciben, sino en virtud de la alta cualificación política que resulta de su cometido constitucional. No se defiende mediante este recurso ningún interés o derecho propio sino el interés general y la supremacía de la Constitución” (STC 42/1985, de 15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Naturalmente, no por ello nuestro escrutinio ha de ser aquí más intenso ni la doctrina constitucional de las Sentencias citadas deja de ser aplicable. Sin embargo, que estemos ante un conflicto promovido por múltiples ayuntamientos españoles en defensa de su autonomía frente a una profunda reforma de la legislación estatal sobre bases del régimen local y haciendas locales no está exento de consecuencias. Los municipios recurren la Ley 27/2013 porque, afirman, vulneraría su autonomía constitucionalmente garantizada al atribuir determinados poderes a las Comunidades Autónomas, razonando así motivos de impugnación que, naturalmente, no han planteado los gobiernos y parlamentos autonómicos. En general, al considerar que determinados preceptos de esta Ley perjudican gravemente intereses propios, han proporcionado argumentaciones desarrolladas, más que (y diferentes de) las de los citados recursos de inconstitucionalidad; esto exigirá esfuerzos correlativos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Ahora bien, hay supuestos en que el presente conflicto y aquellos recursos vierten, respecto del mismo precepto, los mismos razonamientos impugnatorios. De acuerdo con la doctrina constitucional (STC 172/1998, de 23 de julio, FJ 2) y siguiendo la pauta aplicada ya en las SSTC 111/2016, FJ 2 c); 168/2016, FJ 2 c); 180/2016, FJ 3 c); 44/2017, FJ 3 d); 45/2017, FJ 3 d); 54/2017, FJ 3 d); 93/2017, FJ 3 d), y 101/2017, FJ 2 c), cabe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impugnan varios preceptos reguladores de las competencias locales, en general, y municipales, en particular, por vulneración de la garantía constitucional de la autonomía local (arts. 137, 140 y 141 CE): artículos 7.4 y 25.2 LBRL, en la redacción dada por los apartados 3 y 8, respectivamente, del artículo 1 de la Ley 27/2013. Corresponde descartar la vulneración denunciada por remisión a la STC 41/2016, FFJJ 10, 11 b) y 12 a),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razonar que el artículo 7.4 LBRL vulnera su autonomía constitucionalmente garantizada, los municipios recurrentes desarrollan argumentos nuevos a los que habremos de responder específicamente.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recurre el artículo 26.2 LBRL (en la redacción dada por el artículo 1.9 de la Ley 27/2013) sobre la “coordinación” (voluntaria) de determinados servicios en municipios de menos de 20.000 habitantes. Según hemos precisado ya, la impugnación ha perdido objeto en lo relativo a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En lo demás, corresponde descartar la vulneración denunciada de la garantía constitucional de la autonomía municipal (arts. 137 y 140 CE) por remisión a las SSTC 111/2016, FJ 12 d), y 45/2017, FJ 2 d), que han dado respuesta a los mismos reproches.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razonar que el artículo 26.2 LBRL vulnera su autonomía constitucionalmente garantizada, los municipios actores añaden motivos impugnatorios a los que daremos respuesta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impugna el artículo 57.3 LBRL (en la redacción dada por el artículo 1.16 de la Ley 27/2013) porque, al condicionar la constitución de consorcios a que suponga una asignación más eficiente de recursos económicos, vulneraría la garantía constitucional de la autonomía local. Procede desestimar la impugnación por remisión a la STC 180/2016, FJ 7, que descartó la concurrencia del indicado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impugna el artículo 85.2 LBRL (en la redacción dada por el artículo 1.21 de la Ley 27/2013) porque, al primar la gestión por la propia corporación o mediante organismo autónomo frente a la entidad pública empresarial y la sociedad mercantil, limitaría la capacidad municipal de autoorganización sin justificación alguna. Corresponde desestimar la impugnación de este motivo por remisión a la STC 41/2016,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También el artículo 92 bis LBRL (en la redacción dada por el artículo 1.25 de la Ley 27/2013), sobre los funcionarios locales con habilitación de carácter nacional, ha sido impugnado por un motivo, igualmente vinculado a la garantía constitucional de la autonomía local, ya examinado y desestimado por la STC 45/2017,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Del mismo modo, el artículo 116 bis LBRL (introducido por el art. 1.30 de la Ley 27/2013), sobre el plan económico-financiero de las corporaciones locales, ha sido impugnado por un motivo de inconstitucionalidad ya desestimado en la STC 180/2016, FJ 8, a la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razonar que este precepto vulnera su esfera de autonomía garantizada por la Constitución, los municipios promotores del conflicto añaden un argumento que habremos de abordar específicamente.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Respecto del artículo 116 ter LBRL (en la redacción dada por el artículo 1.31 de la Ley 27/2013), los municipios recurrentes plantean el mismo motivo impugnatorio que formuló el recurso de inconstitucionalidad del Gobierno de Andalucía. Desestimado en la STC 111/2016, FJ 12 b), corresponde volver a desestimarlo por remisión a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Se impugna la disposición adicional novena LBRL (en la redacción dada por el artículo 1.36 de la Ley 27/2013), sobre “redimensionamiento del sector público local”, por motivos ya desestimados en las SSTC 44/2017, FJ 3, y 101/2017, FJ 5 b), a las que, en consecuencia,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razonar que este precepto vulnera la garantía constitucional de su autonomía, los municipios recurrentes añaden un argumento que habremos de abordar específicamente.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Se impugnan los artículos 213 y 218 del Real Decreto Legislativo 2/2004, en la redacción dada por los apartados 2 y 3, respectivamente, del artículo 2 de la Ley 27/2013, por motivos de impugnación, todos vinculados a la garantía constitucional de la autonomía local, ya examinados y desestimados por las SSTC 111/2016, FJ 5; 44/2017, FJ 3, y 93/2017, FJ 5, a las que, en consecuencia,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municipios promotores del presente conflicto impugnan el artículo 7.4 LBRL, en la redacción dada por el artículo 1.3 de la Ley 27/2013. Razonan con mucho detalle que este precepto vulneraría su autonomía constitucionalmente garantizada (arts. 137 y 140 CE). Buena parte de sus argumentos han quedado ya respondidos y desestimados por remisión a la STC 41/2016, FFJJ 10, 11 b) y 12 c). No obstante, hay dos motivos que, no obteniendo respuesta directa en aquella Sentencia, procede abordar específicamente ahora, aclarando antes el significado y alcance del precepto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sustitución de las reglas habilitantes generales incluidas en la redacción originaria del artículo 25.1 y en el derogado artículo 28, ambos LBRL, la previsión controvertida establece otra que permite a los ayuntamientos ejercer cualesquiera competencias relacionadas con la gestión de asuntos de interés municipal, pero con sujeción a determinadas condiciones materiales y formales. El ejercicio de tales competencias no requiere de una habilitación legal específica, pero es posible solo si: 1) no hay riesgo para la sostenibilidad financiera de la hacienda municipal; 2) no se produce la ejecución simultánea del mismo servicio con otra Administración; y 3) hay informe previo vinculante de la Administración competente por razón de la materia (que señale la inexistencia de duplicidades) y de la Administración que tenga atribuida la tutela financiera (sobre la sostenibilidad financiera de las nuevas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las competencias que el artículo 7.4 LBRL califica como “distintas de las propias y de las atribuidas por delegación” y que este Tribunal ha adjetivado más precisamente como “propias generales” (SSTC 41/2016, FJ 10, y 54/2017, FJ 3). Se distinguen de las competencias “propias” del artículo 25 LBRL o “propias específicas” [SSTC 54/2017, FJ 3 d), 93/2017, FJ 4, y 101/2017, FJ 4 b)], no por el nivel de autonomía de que dispone el municipio que las ejerce, sino por la forma en que están atribuidas; si las reguladas en el artículo 25 LBRL son competencias determinadas por la ley sectorial, las previstas en el artículo 7.4 LBRL están directamente habilitadas mediante una cláusula general básica, quedando su ejercicio sujeto a la indicada serie de condiciones (STC 41/2016,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exigencia de aquellos informes necesarios y vinculantes incide sobre la autonomía local: el ente local no podrá desplegar servicios, incluso de interés local exclusivo o predominante, sin la decisión favorable de otra instancia territorial. No obstante, hemos tenido oportunidad de subrayar, en primer lugar, el contexto normativo en el que se inserta el artículo 7.4 LBRL: “un modelo básico que atribuye directamente determinadas competencias a los entes locales (art. 26 LBRL), permite a las leyes (estatales y autonómicas) atribuir específicamente competencias propias o, incluso, obliga a que lo hagan ‘en todo caso’ dentro de determinados ámbitos materiales (art. 25.2 LBRL)” [STC 41/2016, FJ 11 b)]. Hemos destacado también, en segundo lugar, que los informes necesarios y vinculantes regulados en el artículo 7.4 LBRL no son, técnicamente, controles administrativos: son “técnicas para la delimitación de las competencias locales, no instrumentos que permiten a una Administración supralocal interferir en el desarrollo autónomo de las competencias locales efectivamente delimitadas o atribuidas”; obtenidos los informes favorables, “el ente local podrá llevar a cabo la tarea ‘en régimen de autonomía y bajo la propia responsabilidad, atendiendo siempre a la debida coordinación en su programación y ejecución con las demás Administraciones Públicas’ (art. 7.2 LBRL)” [STC 41/2016, FJ 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los municipios promotores del conflicto, la prohibición de ejecución simultánea del mismo servicio incluida en el artículo 7.4 LBRL conllevaría la prohibición de las llamadas “actividades complementarias de las propias de otras Administraciones Públicas”, singularmente las de ámbito autonómico “relativas a la educación, la cultura, la promoción de la mujer, la vivienda, la sanidad y la protección del medio ambiente” (antiguo art. 28 LBRL). Antes de la Ley 27/2013, los municipios podían ejercer estas tareas “complementarias” al amparo de la cláusula general incluida en el artículo 28 LBRL. Tras la derogación de esta cláusula (art. 1.11 de la Ley 27/2013), la prohibición de “duplicidad” prevista en el artículo 7.4 LBRL vendría a impedir que los municipios lleven a cabo toda suerte de actividad “complementaria”, salvo la que pueda considerarse alojada en el artículo 25.2 LBRL, con el consiguiente sacrificio del autogobierno municipal. El legislador básico habría trazado así un paralelismo entre las actividades “complementarias” y las “duplicidades” que resultaría inadmisible, por cuanto que, en rigor, duplicidad habría solo cuando dos poderes públicos territoriales prestan el mismo tipo de acción a las mismas personas, grupos o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básico sigue habilitando directamente por sí a los municipios las llamadas “actividades complementarias de las propias de otras Administraciones Públicas”, en general, y las complementarias de las desarrolladas por las Comunidades Autónomas, en particular (antiguo art. 28 LBRL). Tal como señala la STC 41/2016, FJ 12 b), el nuevo artículo 7.4 LBRL, “al prever que los entes locales ‘podrán ejercer competencias distintas de las propias y de las atribuidas por delegación’”, viene a “atribuir directamente competencias locales en materias de competencia autonómica” y, en general, en cualesquiera ámbitos de interés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verdad que el ejercicio de tales competencias presupone la “inexistencia de duplicidades” o, más precisamente, que “no se incurra en un supuesto de ejecución simultánea del mismo servicio público con otra Administración Pública” (art. 7.4 LBRL). También que la prohibición de duplicidades competenciales opera, no solo cuando la Administración competente según la materia debe elaborar el informe del que depende que el ente local pueda desarrollar un determinado servicio como competencia “propia general” (art. 7.4 LBRL), sino también cuando el legislador pretende atribuir esos servicios como competencia “propia específica” mediante norma con rango de ley; conforme al artículo 25.5 LBRL, en la redacción dada por el artículo 1.8 de la Ley 27/2013, “la ley determinará la competencia municipal propia de que se trate, garantizando que no se produce una atribución simultánea de la misma competencia a otra Administración Pública”. De modo que el municipio que, por razón de la duplicidad competencial, no pueda hacer valer la cláusula general del artículo 7.4 LBRL para prestar un servicio, tampoco podrá, en principio, aspirar a que se lo atribuya específicamente una norma con rango de ley, lo que, en efecto, si se tratase de servicios de interés local exclusivo o predominante, pone en riesgo la autonomía municipal constitucionalmente garantizada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 acuerdo con el artículo 7.4 LBRL, una prestación no queda automáticamente excluida como servicio municipal por el solo hecho de replicar la desarrollada en otro nivel de gobierno, en general, o en el autonómico, en particular, que es el supuesto que importa específicamente a los municipios impugnantes cuando se refieren a las actividades “complementarias” del antiguo artículo 28 LBRL. La consecuencia de la duplicidad competencial no ha de ser necesariamente el informe contrario al despliegue de la prestación en el nivel municipal. Si el servicio que el municipio pretendiera “duplicar” fuese autonómico, la solución más ajustada a los principios de autonomía local (arts. 137, 140 y 141 CE) y de proximidad (art. 2.1 LBRL), puede ser el repliegue de la propia Administración autonómica y el consiguiente ejercicio de la competencia en el nivel local. Así, tendencialmente, cuando la ponderación de los intereses locales y autonómicos involucrados arroje un saldo favorable a los primeros.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la Administración competente según la materia, si en el marco del artículo 7.4 LBRL, ante supuestos de efectiva ejecución simultánea, emitiera informe negativo fijándose solo en el dato de la duplicidad competencial, sin ponderar los intereses territoriales que pudieran justificar que sean otros niveles de gobierno —incluido el autonómico— quienes dejen de realizar el servicio, podría vulnerar la autonomía de los entes locales. La eventual vulneración sería imputable, no a la previsión controvertida, sino a una actuación administrativa que, en cuanto tal, es controlable por los órganos de la jurisdicción contencioso-administrativa [en parecido sentido, SSTC 51/2004, de 13 de abril, FJ 10, y 154/2015, FJ 6 e)]. La STC 41/2016, FJ 11 b), señala a este respecto que “las Administraciones que han de elaborar los informes previos están directamente vinculadas por la garantía constitucional de la autonomía local” y, por tanto, “son ellas —no el art. 7.4 LBRL— las que podrían llegar a incurrir en la vulneración denunciada si impidieran efectivamente en casos concretos una intervención local relevante en ámbitos de interés local exclusivo o predominante, sin perjuicio de los amplios márgenes de apreciación que abren los artículos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cabe identificar los conceptos de “complementariedad” y “duplicidad”. Ciertamente, la Ley 27/2013 no acota ni define los supuestos de “duplicidad” competencial; se limita a identificarlos con la “ejecución simultánea del mismo servicio público” por parte de dos Administraciones públicas. Pese a la indefinición normativa, un sencillo análisis semántico permite apreciar lo siguiente: una actividad “complementaria” en el sentido del antiguo artículo 28 LBRL no es, necesariamente, una actividad “duplicada” a efectos del nuevo artículo 7.4 LBRL, esto es, una tarea incursa por definición en la prohibición de “ejecución simultánea del mismo servicio público” por parte de varias Administraciones públicas. Como se desprende de las propias alegaciones de los ayuntamientos impugnantes, dentro de ámbitos materiales tales como la educación, la sanidad o la vivienda, los servicios municipales serán, en efecto, “complementarios” de las competencias de ejecución estatutariamente atribuidas a las Comunidades Autónomas, pero no serán “duplicados” si, por ejemplo, las acciones locales específicamente desarrolladas o sus concretos destinatarios no coinciden con los de los servicios autonómicos correspondientes. El tenor del artículo 25 LBRL confirma con toda claridad que el legislador básico no ha identificado el ejercicio de competencias “complementarias” con la ejecución “simultánea” del mismo servicio: al referirse a la atribución legal de competencias municipales, a la vez que conmina a garantizar “que no se produce una atribución simultánea de la misma competencia a otra Administración pública” (apartado 5), obliga a asegurar que los ayuntamientos dispongan “en todo caso” de “competencias propias” dentro de ámbitos materiales donde las Comunidades Autónomas cuentan con competencias de gestión o ejecución (apartado 2). Consecuentemente, el artículo 7.4 LBRL no impide aprovechar la estructura territorial compuesta del Estado (art. 137 CE) para distribuir prestaciones entre los niveles autonómico y local y, dentro de este, entre sus eventuales subniveles de gobierno (inframunicipal, municipal o intermedio).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ausencia de una definición más precisa del concepto de “duplicidad” competencial, habrán de ser las Comunidades Autónomas quienes lo especifiquen. En el contexto de una regulación afirmada como básica, la ausencia de precisión normativa “debe interpretarse como un reconocimiento de márgenes de configuración” [SSTC 54/2017, FJ 3 e), y 45/2017, FJ 4, citando las SSTC 41/2016, FJ 7 c), y 111/2016, FFJJ 12 a) y c), 180/2016, FJ 7, 93/2017, FJ 3]. Consecuentemente, los problemas que, bajo la óptica de la autonomía local constitucionalmente garantizada, pudieran derivar del desarrollo o aplicación, por parte de las Comunidades Autónomas, de un concepto excesivamente amplio de “duplicidad” o alejado de sus rasgos conceptuales objetivos serán achacables a ese eventual desarrollo o aplicación, pero no al artículo 7.4 LBRL [en parecido sentido: STC 41/2016, FJ 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venimos razonando, no puede perderse de vista que las Comunidades Autónomas, tanto cuando desarrollen como cuando apliquen la previsión controvertida, estarán vinculadas a la garantía constitucional de la autonomía local (arts. 137, 140 y 141 CE) y a la propia legislación básica, conforme a la que deben “asegurar a los Municipios, las Provincias y las Islas su derecho a intervenir en cuantos asuntos afecten directamente al círculo de sus intereses, atribuyéndoles las competencias que proceda en atención a las características de la actividad pública de que se trate y a la capacidad de gestión de la Entidad Local, de conformidad con los principios de descentralización, proximidad, eficacia y eficiencia, y con estricta sujeción a la normativa de estabilidad presupuestaria y sostenibilidad financiera” (art. 2.1 LBRL) [en este sentido, STC 41/2016, FJ 11 b)]. También están sujetas a las garantías de autonomía local que establezca eventualmente el Estatuto de Autonomía, siempre que sean compatibles con las bases del régimen local [SSTC 31/2010, FFJJ 36 y 37; 168/2016, FJ 3 b); 44/2017, FJ 2 c); 45/2017, FJ 2 c), y 54/2017,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cabe descartar que el artículo 7.4 LBRL, en la redacción dada por el artículo 1.3 de la Ley 27/2013, haya excluido la intervención municipal en ámbitos de competencia ejecutiva autonómica, en general, y en materia de educación, cultura, promoción de la mujer, vivienda, sanidad y medio ambiente, en particular. No produciéndose la intromisión denunciada en el autogobierno municipal, procede desestimar este motivo de impugnación del artículo 7.4 LBRL, en la redacción dada por el artículo 1.3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Según los municipios promotores del conflicto, el artículo 7.4 LBRL, en cuanto a los informes necesarios y vinculantes, dice solo que han de versar sobre duplicidades y sostenibilidad financiera. La intervención de las Administraciones a cuyo informe favorable se subordina el ejercicio de las competencias locales estaría excesivamente indeterminada, abriendo amplísimos márgenes de discrecionalidad. Ello supondría, a la postre, admitir muy diferentes aplicaciones, dando pie a que haya municipios que dispongan (por razones coyunturales y aleatorias) de una cartera de servicios íntegra y amplia, junto a otros con limitada capacidad de autogobierno. La supeditación del desempeño de tareas municipales a la voluntad de otra Administración sin establecer los parámetros legales dentro de los que debe moverse el informe de esa Administración resultaría por todo ello inconciliable con la garantía constitucional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en sí de que el artículo 7.4 LBRL, respecto del ejercicio de las competencias “propias generales” de los entes locales, confíe a otras instancias políticas poderes decisorios mediante informes vinculantes no infringe los artículos 137, 140 y 141 CE. Ciertamente, el sistema constitucional garantiza la autonomía de municipios, provincias e islas y, con ello, atribuye por sí un mínimo competencial común: al garantizar la autonomía local, habilita directamente la toma de decisiones en materia de organización por parte de los entes locales [así, refiriéndose, a la delegación de competencias, STC 101/2017, FJ 5 c)] y, en particular, al reconocer su iniciativa en la actividad económica (art. 128.2 CE), autoriza también “directamente”, sin necesidad de “interposición legislativa”, el poder de crear y mantener empresas públicas, ajustándose a las condiciones que impongan las leyes [STC 54/2017, FJ 5 b)]. No obstante, la Constitución confía a los poderes constituidos (Estado y Comunidades Autónomas) la definición concreta y la atribución misma de las competencias locales: “la Constitución ‘no precisa las competencias que corresponden a los entes locales’ [STC 154/2015, de 9 de julio, FJ 6 a), citando la STC 32/1981, de 28 de julio, FJ 3]. Distribuye todo el poder público entre el Estado (las competencias atribuidas por el art. 149 CE) y las Comunidades Autónomas (las competencias atribuidas por los Estatutos de Autonomía y las leyes previstas en los apartados 1 y 2 del artículo 150 CE)”. Consecuentemente, de acuerdo con la Constitución, la amplitud de la cartera de servicios municipales depende, en última instancia, de las decisiones de otros niveles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per se contrario a la garantía constitucional de la autonomía local (arts. 137 y 140 CE) que municipios similares en términos poblacionales o socioeconómicos puedan alcanzar distintos volúmenes competenciales. En consonancia con la estructura territorial compuesta que diseña el artículo 137 CE (STC 82/1982, de 21 de diciembre, FJ 4), “la Constitución no encomienda en exclusiva la regulación y la asignación de las competencias locales ni al Estado ni a las Comunidades Autónomas. Cada cual en el marco de sus atribuciones ha de regular y atribuir las competencias de los entes locales, sin perjuicio de la autonomía asegurada en los arts. 137, 140 y 141 CE [STC 214/1989, FJ 3 a)]” (STC 41/2016, FJ 9). Consecuentemente, el contenido de la cartera de servicios municipales puede ser muy diferente según las opciones políticas que desarrolle cada Comunidad Autónoma respecto de los entes locales de su ámbito territorial en el marco de las coordenadas básicas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lo que plantean los ayuntamientos recurrentes es, no tanto que una intervención administrativa como la prevista en el artículo 7.4 LBRL en orden a la delimitación de las competencias municipales sea en todo caso contraria a su autonomía constitucionalmente garantizada, como que el Estado habría debido ajustarla a las garantías que imponen los artículos 137 y 140 CE. Para responder a la impugnación, hay que partir de que, en efecto, la autonomía local constitucionalmente garantizada impone límites a la configuración legislativa de las competencias de municipios, provincias e islas.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leyes deben ponderar los intereses locales y supralocales involucrados, asegurando “que los municipios tengan competencias ‘propias’ en ámbitos de interés exclusiva o prevalentemente municipal” y, en general, una capacidad de intervención en los asuntos que les afectan tanto más relevante y decisiva cuanto mayor sea el saldo favorable a los intereses municipales [STC 41/2016, FFJJ 9 y 11 b), citando la SSTC 4/1981, de 2 de febrero, FJ 3; 32/1981, de 28 de julio, FJ 4; 170/1989, 19 de octubre, FJ 9, y 51/2004, de 13 de abril, FJ 9]. Atendiendo a intereses de alcance supralocal, pueden conferir a instancias políticas supramunicipales (por ejemplo, cabildos, consejos insulares, diputaciones o Comunidades Autónomas) mecanismos de intervención que limiten la autonomía municipal, pero deben especificar y determinar suficientemente el contenido y alcance de esas atribuciones. Las SSTC 111/2016, FJ 12 a) y c), y 152/2016, de 22 de septiembre, FJ 5, al abordar determinadas atribuciones de las diputaciones y las Comunidades Autónomas respecto de servicios municipales, se han referido a estos límites constitucionales a la configuración legislativa de las competencias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7.4 LBRL, en la medida en que somete a los entes locales a aquellos informes vinculantes, constituye una restricción de la autonomía local: tales informes pueden impedir el ejercicio de competencias de fuerte interés municipal o pueden retrasarlo en el mejor de los casos. Ya hemos tenido oportunidad de razonar ampliamente que la exigencia de esos informes se justifica en intereses de alcance supralocal [STC 41/2016, FJ 11 b)]. A fin de valorar ahora si el precepto impugnado cumple el mandato de predeterminación normativa resultante del reconocimiento constitucional de la autonomía local (arts. 137, 140 y 141 CE), hay que partir de que, en efecto, algunos aspectos de aquella intervención restrictiva han quedado normativamente indefinidos. Las Administraciones que han de emitir los informes preceptivos y vinculantes se identifican indirectamente, por referencia a la competente según la materia —en lo que atañe al informe de duplicidad competencial— y a la responsable de la tutela financiera de los entes locales —en lo que se refiere al informe de sostenibilidad—. Nada se dice sobre aspectos formales tales como los órganos que deben evacuar los informes, el plazo de emisión y las consecuencias del incumplimiento; ni sobre elementos sustanciales como los concretos extremos que ha de tomar en consideración el informe sobre duplicidades. En fin, según hemos razonado ya, la Ley 27/2013 no define el concepto de “duplicidad” competencial como tampoco el de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artículo 7.4 LBRL no incumple aquella exigencia de predeterminación normativa. Al confiar un informe vinculante a la Administración “competente por razón de la materia”, el precepto controvertido pretende evitar duplicidades sin vulnerar el sistema constitucional de distribución competencial; emitirá el informe el titular de las competencias de ejecución en el ámbito objetivo de que se trate, que habitualmente serán las Comunidades Autónomas a la vista de las múltiples competencias de gestión que tienen estatutariamente reconocidas. Por otra parte, cabe identificar fácilmente a la Administración “que tenga atribuida la tutela financiera”. Tal Administración es la Comunidad Autónoma o, en su caso, la que indique el correspondiente Estatuto de Autonomía o la legislación autonómica: “resulta indiscutible, en primer lugar, que el art. 149.1 CE no ha reservado al Estado la ejecución del régimen local, en general, ni la tutela financiera de los entes locales, en particular, y, en segundo lugar, como consecuencia de lo anterior, que todos los Estatutos —no solo los que se benefician del plus competencial derivado de la garantía constitucional de la foralidad— pueden atribuir esas competencias a sus respectivas Comunidades Autónomas. Consecuentemente, la referencia a la Administración ‘que tenga atribuida [o “ejerza”] la tutela financiera’ de los entes locales no puede interpretarse como una fórmula alambicada mediante la cual la Ley 27/2013 consigue residenciar en el nivel central la facultad de intervenir en decisiones administrativas o ejecutivas que afectan al mapa local canario (art. 13.1 LBRL), así como autorizar caso a caso la ampliación de las competencias de la corporación que lo solicite (art. 7.4 LBRL)” [STC 101/2017,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artículo 7.4 LBRL establece claramente que los municipios tienen atribuida la competencia para gestionar cualquier asunto de interés municipal a la vez que, con igual claridad, subordina su ejercicio a nada más que dos condiciones materiales. De modo que las Administraciones informantes solo pueden mantener la barrera que el artículo 7.4 LBRL impone inicialmente a la gestión de cualquier asunto de interés local por razones de sostenibilidad financiera y duplicidad competencial, siendo improcedentes las consideraciones de oportunidad y teniendo siempre en cuenta las garantías de autonomía local, no solo las establecidas en la Constitución (arts. 137, 140 y 141 CE) y la legislación básica (entre otros, arts. 2.1 y 25.2 LBRL), sino también las eventualmente previstas en otras leyes, singularmente las de algunos Estatutos de Autonomía [en este sentido, STC 41/2016, FJ 11 b)], cuando sean compatibles con las bases del régimen local [SSTC 31/2010, FFJJ 36 y 37; 168/2016, FJ 3 b); 44/2017, FJ 2 c); 45/2017, FJ 2 c), y 54/2017, FJ 2 c)]. Por lo demás, el concepto de sostenibilidad financiera, aunque no está definido en la Ley 27/2013, lo está en el artículo 4 de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marco de una materia respecto de la que el Estado tiene solo competencia para adoptar bases, no puede extrañar que el artículo 7.4 LBRL haya dejado de regular agotadoramente la decisión autonómica sobre el ejercicio de las competencias locales. Antes bien, una regulación de mayor detalle que, por ejemplo, indicase el órgano autonómico competente para emitir los informes vinculantes y estableciese todo el procedimiento, invadiría la potestad de autoorganización y la competencia legislativa en materia de régimen local de las Comunidades Autónomas. Consecuentemente, son estas quienes, en cumplimiento de la exigencia de predeterminación normativa que impone la garantía constitucional de la autonomía local (arts. 137, 140 y 141 CE), han de perfilar aquellos aspectos de la intervención autonómica que, pudiéndose considerar relevantes, han quedado indefinidos en el artículo 7.4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desestimar también este motivo de inconstitucionalidad respecto del artículo 7.4 LBRL, en la redacción dada por el artículo 1.3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municipios promotores del presente conflicto en defensa de la autonomía local impugnan el artículo 26.2 LBRL, en la redacción dada por el artículo 1.9 de la Ley 27/2013, cuyo tenor, tras la depuración realizada por la STC 111/2016, FJ 12 d),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municipios con población inferior a 20.000 habitantes será la diputación provincial o entidad equivalente la que coordinará la prestación de los siguientes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Recogida y tratamiento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Abastecimiento de agua potable a domicilio y evacuación y tratamiento de aguas residuales.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Limpieza viaria.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Acceso a los núcleos de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Pavimentación de vías urbanas.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Alumbrado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coordinar la citada prestación de servicios la Diputación propondrá, con la conformidad de los municipios afectados, la forma de prestación, consistente en la prestación directa por la Diputación o la implantación de fórmulas de gestión compartida a través de consorcios, mancomunidades u otras fórmulas.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municipio justifique ante la Diputación que puede prestar estos servicios con un coste efectivo menor que el derivado de la forma de gestión propuesta por la Diputación provincial o entidad equivalente, el municipio podrá asumir la prestación y coordinación de estos servicios si la Diputación lo considera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Diputación o entidad equivalente asuma la prestación de estos servicios repercutirá a los municipios el coste efectivo del servicio en función de su uso. Si estos servicios estuvieran financiados por tasas y asume su prestación la Diputación o entidad equivalente, será a ésta a quien vaya destinada la tasa para la financiación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hemos recordado ya, la impugnación ha perdido objeto en lo atinente a los incisos del artículo 26.2 LBRL que la STC 111/2016, FJ 12 d), declaró inconstitucionales y nulos. A su vez, en lo que hace al resto del precepto, hemos desestimado por remisión a la indicada Sentencia y a la STC 45/2017, FJ 2 d), la mayor parte de los motivos de inconstitucionalidad formulados por los municipios impugnantes. Resta solo abordar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 acuerdo con las alegaciones de los ayuntamientos recurrentes, el artículo 26.2 LBRL, aplicado por las Comunidades Autónomas uniprovinciales, supondría atribuir funciones típicamente municipales a un nivel de gobierno que actúa extramuros del sistema local en contra del principio constitucional de autonomía local. En segundo lugar, las Comunidades uniprovinciales y las diputaciones podrían llegar a ejercer las facultades previstas en el artículo 26.2 LBRL sin la “conformidad” de los ayuntamientos en supuestos de incumplimiento de los objetivos de estabilidad presupuestaria y sostenibilidad financiera. Se razona a este respecto que el artículo 116 bis LBRL, en la redacción dada por el artículo 1.30 de la Ley 27/2013, entre las medidas que debe programar el plan económico-financiero, incluye la “gestión integrada o coordinada de los servicios obligatorios que presta la entidad local para reducir costes” sin hacer referencia a la “conformidad”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26.2 LBRL se refiere a la diputación provincial o entidad “equivalente”. Las entidades “equivalentes” son, a los efectos de este artículo, las Comunidades Autónomas uniprovinciales y otros entes locales “intermedios”, esto es, instancias políticas de ámbito territorial superior al municipal e inferior al autonómico (STC 101/2017, FJ 8). La propia Ley reguladora de las bases de régimen local señala expresamente a este respecto que las competencias de las diputaciones provinciales corresponden a las primeras (art. 40), además de a entes públicos del segundo tipo como los territorios históricos vascos (disposición adicional segunda), los consejos insulares de Baleares (art. 41.3) y los cabildos insulares canarios (art. 41.1).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negar la existencia de intereses específicos de la provincia ni la sustantividad institucional de esta entidad territorial (STC 27/2016, FJ 4), cabe destacar la estrecha conexión entre los intereses y la organización provinciales con los municipales y que, en efecto, las diputaciones y los ayuntamientos conforman un mismo nivel (local) de gobierno. La caracterización constitucional de la provincia como “agrupación de municipios” (art. 141.1 CE) supone, precisamente, que unas y otros responden a un ámbito normalmente común de intereses, lo que tiene un inequívoco reflejo institucional: partiendo de que la Constitución ha dejado “deliberadamente abierto el tipo de legitimidad (directa o indirecta) que exige su carácter representativo (art. 141.2 CE)”, “la Ley Orgánica del régimen electoral general, de acuerdo con una arraigada tradición histórica y en consonancia con una concepción instrumental de la provincia, ha optado por que el pleno de esta corporación local cuente con legitimidad democrática indirecta: los miembros de la diputación provincial son elegidos de entre los concejales en los términos previstos en los artículos 202 a 209 LOREG”; “el sentido de que los municipios —no los ciudadanos— sean quienes estén directamente representados en los órganos provinciales de gobierno es, precisamente, en términos de principio, que los municipios son los destinatarios principales o directos” de las competencias de asistencia, cooperación y coordinación características de “la provincia como entidad local ‘determinada por la agrupación de municipios’ (art. 141.1 CE)” [SSTC 111/2012, FFJJ 9 y 12 c), y 45/2017,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tareas previstas en el artículo 26.2 LBRL, cuando son desarrolladas por las diputaciones provinciales, presentan, en consecuencia, la siguiente característica: a través de los concejales que forman parte de la diputación, los ayuntamientos intervienen, no solo en la programación de las medidas relativas a la gestión de aquellos servicios municipales, sino también en su aplicación y desarrollo [STC 111/2012, FJ 12 c)]. Esta relevante intervención del municipio en la gestión de servicios de su titularidad desaparece cuando son Comunidades uniprovinciales quienes aplican el precepto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pues, admitir que el artículo 26.2 LBRL, aplicado por Comunidades uniprovinciales, implica sustraer del sistema local determinadas decisiones relativas a la gestión de servicios de titularidad local, “típicamente municipales y, en efecto, indispensables para el desenvolvimiento de la vida urbana” [STC 111/2016, FJ 12 d)]. A fin de determinar si ello resulta compatible con los artículos 137 y 140 CE, corresponde valorar si tales decisiones llegan efectivamente a restringir la autonomía municipal y, si así fuera, si su contenido está normativamente predeterminado y si su atribución a las Comunidades uniprovinciales puede justificarse tras la ponderación de los intereses municipales y supramunicipales involucrados [SSTC 111/2012, FJ 12 a) y c), y 152/2016, FFJ 5 a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26.2 LBRL se refiere a fórmulas de cooperación o “coordinación voluntaria” que puede proponer la Comunidad Autónoma uniprovincial y aceptar el municipio titular del servicio y, correlativamente, que no tiene la obligación de proponer la primera y que puede rechazar el segundo. Así resultaba de su tenor originario y resulta ahora aún más claramente una vez que la STC 111/2016, FJ 12 d), ha declarado la inconstitucionalidad y nulidad de aquellos dos incisos [en este sentido: STC 168/2016, FJ 5 b)]. De modo que el municipio conserva la posibilidad de oponerse a cualquiera de las fórmulas (impropiamente denominadas) de coordinación y, por tanto, también a las que pudieran afectar más fuertemente a su autonomía: la puesta en marcha de las fórmulas de gestión que planifique la Comunidad Autónoma uniprovincial depende, precisamente, de la autonomía municipal. Por ello, bajo la óptica de la autonomía local, resulta a la postre irrelevante que no haya concejales integrados en la instancia territorial que propone y desarrolla aquellas fórmulas de gestión relativa a los servicios de titularidad municipal; el municipio conserva en todo caso la capacidad de oponerse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razonado la STC 111/2016, FJ 12 d), refiriéndose al artículo 26.2 LBRL en su aplicación por parte de las diputaciones provinciales: “el criterio determinante no es el económico, tampoco la decisión de otras Administraciones públicas; es la voluntad municipal misma. El municipio puede dar o no su conformidad a un plan que condicionará el modo en que ha de gestionar sus servicios. Hay una posible pérdida de autonomía, pues el municipio puede quedar sujeto a la técnica de ‘coordinación’ correspondiente y, en ese caso, solo podría revertir la situación justificando el menor coste efectivo de la gestión incondicionada. Sin embargo, esa pérdida es consentida y, en cuanto tal, no lesiva de la garantía consagrada en los arts. 137 y 141 CE. La pérdida de autonomía municipal se producirá solo eventualmente y únicamente si la acepta el ayuntamiento o, lo que es lo mismo, ‘con la conformidad de los municipios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26.2 LBRL no “determina precisamente las circunstancias habilitantes de una u otra técnica de ‘coordinación’ (voluntaria)”, pero, según venimos razonando, ello “no pone en riesgo la autonomía local constitucionalmente garantizada (arts. 137 y 140 CE) habida cuenta de que el precepto asigna al municipio la posibilidad de oponerse a cualquiera de esas técnicas” [STC 111/2016, FJ 12 d)]. La previsión impugnada no restringe la autonomía local sin que, por tanto, sea preciso examinarla a la luz de las exigencias de predeterminación normativa y ponderación que imponen los artículos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según los ayuntamientos recurrentes, en determinados casos, las Comunidades Autónomas uniprovinciales y las diputaciones pueden llegar a ejercer las facultades previstas en el artículo 26.2 LBRL sin su “conformidad”, lo que obligaría a realizar el indicado examen; habría de declararse la vulneración de la garantía constitucional de la autonomía local a la vista de, por un lado, la enorme indefinición de la competencia atribuida a las Comunidades Autónomas uniprovinciales y a las diputaciones en orden a imponer una u otra fórmula de gestión de los servicios municipales y, por otro, el marcado carácter municipal de los intereses involucrados. Ello ocurriría en supuestos en que el municipio incumple los objetivos de estabilidad presupuestaria y sostenibilidad financiera. Señalan a este respecto que el artículo 116 bis LBRL, en la redacción dada por el artículo 1.30 de la Ley 27/2013, entre las medidas que debe programar el plan económico-financiero, incluye la “gestión integrada o coordinada de los servicios obligatorios que presta la entidad local para reducir costes” sin hacer referencia a la “conformidad”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eventual inconstitucionalidad denunciada sería achacable, no al artículo 26.2 LBRL, sino al artículo 116 bis LBRL, que es el precepto que impondría aquella “gestión integrada” sin contar con la “conformidad” municipal. No comunicándose la eventual inconstitucionalidad del artículo 116 bis LBRL al artículo 26.2 de la misma Ley, hay que rechazar sin más esta alegación. En cualquier caso, cabe recordar que la propia corporación local incumplidora es quien elabora el plan económico-financiero (art. 23.3 de la Ley Orgánica 2/2012) incluyendo las medidas que, según las circunstancias, juzgue imprescindibles para cumplir los objetivos de estabilidad presupuestaria y sostenibilidad financiera: “cuando el art. 116 bis.2 LBRL dispone que ‘el mencionado plan incluirá al menos las siguientes medidas’ no ha de entenderse que el ente local está vinculado a recoger en dicho plan todas esas medidas, perdiendo así todo margen de opción en sus decisiones de gasto, sino que debe introducirlas si fueran imprescindibles para recobrar la senda del cumplimiento y en la medida en que lo sean” (STC 180/2016,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es verdad que aquella “conformidad” municipal podría resultar efectivamente ensombrecida, con el consiguiente riesgo para la autonomía municipal —dada la fuerte indeterminación normativa y la intensidad de los intereses municipales involucrados—, si la Comunidad Autónoma uniprovincial o diputación correspondiente, al amparo de la norma legal de referencia, diseñase mecanismos disuasorios de tal intensidad que solo formalmente preservasen los márgenes de autonomía municipal que asegura el artículo 26.2 LBRL. Pero, en tal caso, “el problema que tal circunstancia pudiera plantear para la autonomía municipal constitucionalmente garantizada (arts. 137 y 140 CE) afectaría estrictamente, no al impugnado artículo 26.2 LBRL, sino a los planes que hubieran desvirtuado materialmente la exigencia de ‘conformidad’ que este impone” [STC 111/2016, FJ 12 d), refiriéndose al artículo 26.2 LBRL solo en su aplicación por parte de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por tanto, desestimar los motivos de inconstitucionalidad relativos al artículo 26.2 LBRL, en la redacción dada por el artículo 1.9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municipios recurrentes razonan que el artículo 116 bis y la disposición adicional novena LBRL (en la redacción dada por los apartados 30 y 36 del art. 1 de la Ley 27/2013), al penetrar el ámbito material que el artículo 135.5 CE reserva a la ley orgánica, incurrirían en una vulneración del sistema de fuentes que entrañaría, a la postre, el desconocimiento de su autonomía constitucionalmente garantizada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aceptar este planteamiento. Ni la infracción de la Constitución, en general, ni el incumplimiento de sus normas sobre el sistema de fuentes, en particular, conllevan necesariamente la vulneración de la garantía constitucional de la autonomía local. De modo que, aunque el artículo 116 bis y la disposición adicional novena LBRL incluyeran contenidos reservados al legislador orgánico, no por ello vulnerarían los artículos 137, 140 y 141 LBRL. Procede, en consecuencia, desestimar estos motivos de inconstitucionalidad sin que podamos examinar si la infracción del artículo 135.5 CE se ha producido efectivamente. La “misión exclusiva de refuerzo de un ámbito subjetivo de autonomía” de este tipo de procesos explica que solo pueda articularse en razón de un único motivo de inconstitucionalidad, la lesión de la autonomía local (STC 27/2016, FJ 3). En todo caso, no está de más indicar que las SSTC 41/2016, FJ 15, y 111/2016, FJ 4, han examinado, desestimándolo, el motivo de inconstitucionalidad que plantean aquí, bajo el ropaje de la autonomía local, los ayuntamientos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del artículo 26.2 de la Ley 7/1985, de 2 de abril, reguladora de las bases del régimen local, en la redacción dada por el artículo 1.9 de la Ley 27/2013, de 27 de diciembre, de racionalización y sostenibilidad de la Administración local,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y de la disposición adicional decimosexta de la Ley 7/1985, introducida por el artículo 1.38 de la Ley 27/2013.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defensa de la autonomía local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