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junio de 2017, la Procuradora de los Tribunales doña Cayetana de Zulueta Luchsinger, en nombre y representación de don Víctor Diego Villalva y don Santiago Cabezuela García, y bajo la dirección del Letrado don Miguel Durán Campos, interpuso recurso de amparo contra el Auto de la Sala de lo Penal del Tribunal Supremo de 4 de mayo de 2017, por el que se desestima el incidente de nulidad de actuaciones interpuesto contra las Sentencias núm. 983/2016, de 11 de enero de 2017 —aclaradas por Auto de 7 de febrero de 2017—, por las que se estima el recurso de casación núm. 722-2016 interpuesto contra la Sentencia de la Sección Trigésima de la Audiencia Provincial de Madrid núm. 61/2016, de 19 de febrero de 2016, dictada en el procedimiento abreviado núm. 313-2015, y se condena a los recurrentes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y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al pago de las 2/79 partes de las costas del juicio, incluidas las de las acusaciones particulares y al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en lo relativo a las penas privativas de libertad impuestas a los recurrentes, argumentando que de la ejecución se derivan perjuicios irreparables si se estima el recurso de amparo, siendo inexistentes los perjuicios para terceros o el interés general, ya que concurren las circunstancias de que las penas impuestas son inferiores a los cinco años, los recurrentes están en libertad y carecen de antecedentes penales, no existen riesgo para las víctimas que, además, se han visto reparadas en los daños producidos, contando con arraigo que ha provocado que durante la causa no se hayan adoptado medidas cautelares de naturaleza personal, habiéndose estado en todo momento a disposición del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los recurrentes.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empujaron y derribaron al suelo a uno de los asistentes, diputado en el Congreso de los Diputados, sin que constara que conocieran su identidad. En el estrado uno de los condenados arrojó al suelo de un manotazo la señera, otro golpeó el micrófono situado en el atril y otro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otro de los condenados dio un manotazo a la cámara con la que grababa el acto un trabajador de TV3, que al impactar contra su cuerpo le obligó a efectuar un movimiento brusco que le produjo contusión postraumática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entre otros motivos, las vulneraciones del derecho a un proceso con todas las garantías (art. 24.2 CE), por haberse producido una agravación de la condena en segunda instancia en ausencia de inmediación y sin oír al recurrente; y del principio acusatorio, por haberse impuesto una condena de distinta naturaleza y pena mayor a la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 los recurrentes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jurisprudencia de este Tribunal sobre el particular, interesó la suspensión de la penas privativas de libertad y accesorias de derechos. Argumenta que la denegación de la suspensión causaría a los recurrentes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por escrito registrado el 17 de noviembre de 2017, presentaron alegaciones reiterando la solicitud de suspensión por los razonamientos expresados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lo relativo a las penas privativas de libertad que se imponen a los recurrentes, únicas cuya suspensión ha sido solicitada. En concreto, en dicha Sentencia las penas privativas de libertad que se han impuesto a los recurrentes son (i) la pena de prisión de dos años y diez meses por la comisión de un delito de desórdenes públicos en concurso ideal con impedimento del derecho de reunión con la agravante de obrar por motivos de discriminación ideológica; y (ii) la pena de prisión de un año y un mes por la comisión de un delito de daños ocasionados en bienes de propiedad pública con la agravante de obrar por motivos discriminatorios ideológicos y la atenuante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artículo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 la recurrente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los recurrentes han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