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157</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21 de noviembre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junio de 2017, la Procuradora de los Tribunales doña María del Carmen Iglesias Saavedra, en nombre y representación de doña Paula Mijares Casado, y bajo la dirección del Letrado don Santiago González Fernández, interpuso recurso de amparo contra el Auto de la Sala de lo Penal del Tribunal Supremo de 4 de mayo de 2017, por el que se desestima el incidente de nulidad de actuaciones interpuesto contra las Sentencias núm. 983/2016, de 11 de enero de 2017 —aclaradas por Auto de 7 de febrero de 2017—, por las que se estima el recurso de casación núm. 722-2016 interpuesto contra la Sentencia de la Sección Trigésima de la Audiencia Provincial de Madrid núm. 61/2916, de 19 de febrero de 2016, dictada en el procedimiento abreviado núm. 313-2015, y se condena a la recurrente por un delito de desórdenes públicos en concurso ideal con impedimento del derecho de reunión con la agravante de obrar por motivos de discriminación ideológica a la pena de prisión de dos años y diez meses con la accesoria de inhabilitación especial para el derecho de sufragio pasivo durante el periodo de la condena y por un delito de daños ocasionados en bienes de propiedad pública con la agravante de obrar por motivos discriminatorios ideológicos y la atenuante de reparación del daño a la pena de prisión de un año y un mes y multa de catorce meses con cuota diaria de 10 € y responsabilidad personal subsidiaria en caso de impago de la multa de un día de privación de libertad por cada dos cuotas de la multa no abonadas, al pago de las 2/79 partes de las costas del juicio, incluidas las de las acusaciones particulares y al pago conjunto y solidario de responsabilidades civiles en las cantidades de 1.372,14 € y 94,2 € para dos perjudicados.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resolución judicial impugnada en lo relativo a las penas privativas de libertad impuestas a la recurrente, argumentando el superior interés del menor ya que es madre de un niño de dos años cuya guarda y custodia tiene atribuida.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probados en que se fundamenta la condena cuya suspensión se solicita fueron que el 11 de septiembre de 2013, la Delegación del Gobierno de la Generalitat de Cataluña ante el Gobierno del Estado organizó un acto oficial para celebrar la Diada en el centro cultural Blanquerna, propiedad de la Generalitat. El acto comenzaba a las 19:30 horas y su celebración se difundió por las redes sociales. Un grupo de personas afiliadas o simpatizantes de Democracia Nacional, Falange, Nudo Patriota Español y Alianza Nacional convocó una protesta, para lo que convinieron reunirse en la puerta del citado centro. Se congregaron unas 200 personas y cuando el Delegado de la Generalitat se dirigía al atril para tomar la palabra y presentar el acto, accedió al local un grupo de las personas que estaban congregadas afuera, entre ellas la recurrente. Con la finalidad de impedir la celebración del acto, actuando de forma conjunta, accedieron en tropel a la planta a pie de calle, donde se encuentra la librería abierta al público, y rompieron la puerta automática de cristal de entrada causando daños tasados en 1.372,14 €. Desde ella descendieron por las escaleras a la planta inferior, donde se iba a desarrollar el acto, coreando “no nos engañan Cataluña es España”. El grupo se fue abriendo paso hacia el atril entre los asistentes, que se apartaban, pero en un instante empujaron y derribaron al suelo a uno de los asistentes, diputado en el Congreso de los Diputados, sin que constara que conocieran su identidad. En el estrado uno de los condenados arrojó al suelo de un manotazo la señera, otro golpeó el micrófono situado en el atril y otro de los condenados arrojó al suelo el atril, ante el que se mantenía el Delegado de la Generalitat, cuya identidad desconocía, y a él se dirigió con insultos relativos a su condición de catalán y amenazas de muerte, que le obligaron a retroceder. Otro de los asistentes fue escupido y recibió una patada. Tras poco más de un minuto, el grupo abandonó el local. Uno de sus integrantes arrojó un espray irritante que provocó picores, irritación, náuseas y otros menoscabos en los asistentes, lo que obligó a suspender el acto. Cuando el grupo estaba saliendo de la sala, uno de los condenados dio un manotazo a la cámara con la que grababa el acto un trabajador de TV3, que al impactar contra su cuerpo le obligó a efectuar un movimiento brusco que le produjo contusión postraumática en el hombro derecho, de la que curó en nueve días con una primera asistencia facultativa.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derecho a la tutela judicial efectiva (art. 24.1 CE), por haberse producido un rechazo de plano de todas las causas de nulidad alegadas por las defensas incluyendo la agravación de la condena en segunda instancia en ausencia de inmediación y sin oír a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 este Tribunal, por providencia de 16 de noviembre de 2017, acordó la admisión a trámite de la demanda de amparo, apreciando que concurre en el mismo una especial trascendencia constitucional (art. 50.1 de la Ley Orgánica del Tribunal Constitucional) como consecuencia de que la doctrina de este Tribunal sobre el derecho fundamental que se alega podría estar siendo incumplida de modo general y reiterado por la jurisdicción ordinaria o pudieran existir resoluciones judiciales contradictorias sobre el derecho fundamental [STC 155/2009, FJ 2 e)] y la formación de pieza separada para la tramitación del incidente sobre la suspensión solicitada, concediendo a la recurrente y al Ministerio Fiscal el plazo común de tres días naturales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20 de noviembre de 2017, presentó alegaciones en las que, enunciando la jurisprudencia de este Tribunal sobre el particular, interesó la suspensión de la penas privativas de libertad y accesorias de derechos. Argumenta que la denegación de la suspensión causaría a la recurrente un perjuicio irreparable o de muy difícil restitución que podría hacer perder al amparo su finalidad por tratarse de unas penas que acumuladas no superan los cinco años de prisión y que no cabe apreciar una perturbación grave a los intereses generales o derechos fundamentales o libertades públicas de un tercero, más allá del genérico que toda inejecución de una resolución judicial supone, constatándose la circunstancia de arraigo a los efectos de valorarse el posible interés en sustraerse a la acción de la justicia. Por el contrario, considera que no debe accederse a suspender la condena a las penas de multa y al pago de las costas procesales por su carácter de consecuencia jurídica de carácter económico que son susceptibles de reparación posterior.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recurrente, por escrito registrado el 20 de noviembre de 2017, presentó alegaciones reiterando la solicitud de suspensión por los razonamientos expresados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analizar la solicitud de suspensión de la ejecución de la segunda Sentencia de la Sala de lo Penal del Tribunal Supremo núm. 983/2016, de 11 de enero de 2017 —aclarada por Auto de 7 de febrero de 2017—, en lo relativo a las penas privativas de libertad que se imponen a la recurrente, únicas cuya suspensión ha sido solicitada. En concreto, en dicha Sentencia las penas privativas de libertad que se han impuesto a la recurrente son (i) la pena de prisión de dos años y diez meses por la comisión de un delito de desórdenes públicos en concurso ideal con impedimento del derecho de reunión con la agravante de obrar por motivos de discriminación ideológica; y (ii) la pena de prisión de un año y un mes por la comisión de un delito de daños ocasionados en bienes de propiedad pública con la agravante de obrar por motivos discriminatorios ideológicos y la atenuante de reparación del daño.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artículo 56.1 de la Ley Orgánica del Tribunal Constitucional (LOTC) dispone que la interposición de un recurso de amparo no suspenderá los efectos del acto o Sentencia impugnados, concretando el art. 56.2 LOTC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públicas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esta previsión legal, este Tribunal ha declarado que cuando el amparo constitucional se solicita respecto de resoluciones judiciales firmes, la suspensión de su ejecución entraña siempre en sí misma una perturbación de la función jurisdiccional que comprende la potestad de hacer ejecutar lo juzgado (art. 117.3 CE), por lo que esta medida cautelar resulta pertinente únicamente cuando la ejecución del fallo cause al solicitante de amparo un perjuicio irreparable, debiendo entenderse por tal aquel que provoque que el restablecimiento del recurrente en los derechos fundamentales cuya vulneración denuncia sea tardío e impida definitivamente que la restauración sea efectiva. Igualmente, este Tribunal también ha dicho que la acreditación del perjuicio es carga del recurrente, quien debe precisar los concretos perjuicios que de la ejecución se deriven, así como justificar o argumentar razonadamente la irreparabilidad de los mismos; que el perjuicio irreparable debe ser real, sin que sea posible alegar un perjuicio futuro o hipotético o un simple temor; y que la pérdida de la finalidad del amparo no puede equipararse a la mayor o menor dificultad, molestia o incomodidad para el recurrente (ATC 94/2015, de 25 de mayo,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Más concretamente, este Tribunal ha establecido como criterio general la improcedencia de la suspensión de la ejecución de aquellos fallos judiciales que admiten la restitución íntegra de lo ejecutado, a diferencia de aquellos otros en los que, por afectar a bienes o derechos del recurrente de imposible o muy difícil restitución a su estado anterior, procede acordarla. Esto último sucede en las condenas a penas privativas de libertad. El carácter prevalente y especialmente preciado de este derecho impone que cualquier decisión respecto de la suspensión de la ejecución efectiva de cualquier restricción, limitación y privación del mismo deba ser adoptada con un singular cuidado y respeto al principio de proporcionalidad en atención a que “la libertad constituye un derecho cuya naturaleza convierte el perjuicio irrogado en irreparable, en caso de estimarse el amparo una vez cumplida parcial o totalmente la pena” (ATC 291/2014, de 1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ese modo, este Tribunal ha establecido que en el marco de los recursos de amparo la decisión que debe adoptar de suspensión de las resoluciones judiciales que imponen penas privativas de libertad constituye un juicio complejo en que hay que tomar en consideración diversos factores como son (i) la gravedad y naturaleza de los hechos enjuiciados en atención al bien jurídico protegido y su trascendencia social; (ii) la duración de la pena impuesta; (iii) el tiempo que reste de cumplimiento de la misma; y (iv) la concurrencia de riesgos sobre la efectividad de la acción de la Justicia y la posible desprotección de las víctimas. Entre estos factores, este Tribunal ha destacado que tiene especial relevancia el referido a la duración de la pena impuesta, pues es un criterio que expresa de forma sintética la reprobación que el ordenamiento asigna al hecho delictivo —la importancia del bien jurídico tutelado, la gravedad y trascendencia social del delito— y, en consecuencia, la magnitud del interés general en su ejecución. Así, este Tribunal ha adoptado como una directriz general que la pena se sitúe por encima o por debajo de la frontera de los cinco años de prisión, por ser el límite que ha establecido el propio legislador penal para diferenciar entre las penas graves y las menos graves (art. 33 del Código penal); así, por ejemplo, AATC 52/2017, de 18 de abril, FJ 1, o 35/2017, de 27 de febrero, FJ 2. Del mismo modo, este Tribunal también ha afirmado que la suspensión de la pena privativa de libertad debe conllevar la suspensión de las penas accesorias de inhabilitación que lleven a aparejadas (AATC 52/2017, de 18 de abril, FJ 1, o 49/2016, de 29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caso, de acuerdo con lo también defendido por el Ministerio Fiscal, concurren los requisitos que exige la jurisprudencia constitucional para otorgar la suspensión de la ejecución en cuanto a las penas privativas de libertad y las penas accesorias a las establecidas legalmente para la imposición de las penas privativas de libertad. Su ejecución puede ocasionar a la recurrente perjuicios irreparables que harían perder al amparo su finalidad tanto por afectar al valor fundamental de la libertad como porque el resto de circunstancias concurrentes en el caso permiten apreciar que la suspensión no ocasiona una perturbación grave a un interés constitucionalmente protegido ni a los derechos fundamentales o libertades públicas de otra persona. Al margen de la perturbación de la función jurisdiccional que en sí mismo entraña la suspensión de la ejecución de una resolución judicial, no se acreditan riesgos ciertos sobre la efectividad de la acción de la Justicia, ya que la recurrente ha estado a plena disposición de los órganos judiciales, que no adoptaron ninguna medida cautelar de naturaleza personal durante la tramitación de la causa que permita ahora concluir que el eventual aplazamiento en el cumplimiento de la pena que implica una suspensión mientras se tramita el recurso de amparo pueda hacer ineficaz el pronunciamiento condenatorio en caso de ser rechazado el recurso de amparo. También consta que se ha hecho frente al pago de las responsabilidades civiles fijadas y hubo lugar a la aplicación de la atenuación de reparación del daño.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fin de garantizar la efectividad del cumplimiento de la pena se procederá en el plazo más breve a resolver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Segunda Sentencia de la Sala de lo Penal del Tribunal Supremo núm. 983/2016, de 11 de enero de 2017 —aclarada por Auto de 7 de febrero de 2017—, dictada en el recurso de casación núm. 722-2016, exclusivamente en lo referido a las penas privativas de libertad y accesorias a las mismas impuestas a la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