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21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junio de 2017, el Procurador de los Tribunales don Antonio Esteban Sánchez, en nombre y representación de don Pablo Pavón Cadierno, y bajo la dirección del Letrado don Ignacio Gordillo Álvarez Valdés y de la Letrada doña Ana Blanco Vázquez de Prada, interpuso recurso de amparo contra el Auto de la Sala de lo Penal del Tribunal Supremo de 4 de mayo de 2017, por el que se desestima el incidente de nulidad de actuaciones interpuesto contra la Sentencia núm. 983/2016, de 11 de enero de 2017 —aclaradas por Auto de 7 de febrero de 2017—, por las que se estima el recurso de casación núm. 722-2016 interpuesto contra la Sentencia de la Sección Trigésima de la Audiencia Provincial de Madrid núm. 61/2916, de 19 de febrero de 2016, dictada en el procedimiento abreviado núm. 313-2015, y se condena al recurrente por un delito de desórdenes públicos en concurso ideal con impedimento del derecho de reunión con la agravante de obrar por motivos de discriminación ideológica a la pena de prisión de dos años y diez meses con la accesoria de inhabilitación especial para el derecho de sufragio pasivo durante el periodo de la condena; por un delito de daños ocasionados en bienes de propiedad pública con la agravante de obrar por motivos discriminatorios ideológicos y la atenuante de reparación del daño a la pena de prisión de un año y un mes y multa de catorce meses con cuota diaria de 10 € y responsabilidad personal subsidiaria en caso de impago de la multa de un día de privación de libertad por cada dos cuotas de la multa no abonadas; al pago de las 2/79 partes de las costas del juicio, incluidas las de las acusaciones particulares; y al pago conjunto y solidario de responsabilidades civiles en las cantidades de 1.372,14 € y 94,2 € para dos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argumentando que de la ejecución se derivan perjuicios irreparables si se estima el recurso de amparo, siendo inexistentes los perjuicios para terceros o 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probados en que se fundamenta la condena cuya suspensión se solicita fueron que el 11 de septiembre de 2013, la Delegación del Gobierno de la Generalitat de Cataluña ante el Gobierno del Estado organizó un acto oficial para celebrar la Diada en el centro cultural Blanquerna, propiedad de la Generalitat. El acto comenzaba a las 19:30 horas y su celebración se difundió por las redes sociales. Un grupo de personas afiliadas o simpatizantes de Democracia Nacional, Falange, Nudo Patriota Español y Alianza Nacional convocó una protesta, para lo que convinieron reunirse en la puerta del citado centro. Se congregaron unas 200 personas y cuando el Delegado de la Generalitat se dirigía al atril para tomar la palabra y presentar el acto, accedió al local un grupo de las personas que estaban congregadas afuera, entre ellas el recurrente. Con la finalidad de impedir la celebración del acto, actuando de forma conjunta, accedieron en tropel a la planta a pie de calle, donde se encuentra la librería abierta al público, y rompieron la puerta automática de cristal de entrada causando daños tasados en 1.372,14 €. Desde ella descendieron por las escaleras a la planta inferior, donde se iba a desarrollar el acto, coreando “no nos engañan Cataluña es España”. El grupo se fue abriendo paso hacia el atril entre los asistentes, que se apartaban, pero en un instante empujaron y derribaron al suelo a uno de los asistentes, diputado en el Congreso de los Diputados, sin que constara que conocieran su identidad. En el estrado uno de los condenados arrojó al suelo de un manotazo la señera, otro golpeó el micrófono situado en el atril y otro de los condenados arrojó al suelo el atril, ante el que se mantenía el Delegado de la Generalitat, cuya identidad desconocía, y a él se dirigió con insultos relativos a su condición de catalán y amenazas de muerte, que le obligaron a retroceder. Otro de los asistentes fue escupido y recibió una patada. Tras poco más de un minuto, el grupo abandonó el local. Uno de sus integrantes arrojó un espray irritante que provocó picores, irritación, náuseas y otros menoscabos en los asistentes, lo que obligó a suspender el acto. Cuando el grupo estaba saliendo de la sala, otro de los condenados dio un manotazo a la cámara con la que grababa el acto un trabajador de TV3, que al impactar contra su cuerpo le obligó a efectuar un movimiento brusco que le produjo contusión postraumática en el hombro derecho, de la que curó en nueve días con una primera asistencia facultativa.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alegan, entre otros motivos, las vulneraciones del derecho a la tutela judicial efectiva (art. 24.1 CE), y a la presunción de inocencia (art. 24.2 CE), por haberse producido una agravación de la condena en segunda instancia en ausencia de inmediación y sin oír al recurrente y haberse apreciado la concurrencia del elemento subjetivo o 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16 de noviembre de 2017, acordó la admisión a trámite de la demanda de amparo, apreciando que concurre en el mismo una especial trascendencia constitucional (art. 50.1 de la Ley Orgánica del Tribunal Constitucional)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la formación de pieza separada para la tramitación del incidente sobre la suspensión solicitada, concediendo al recurrente y al Ministerio Fiscal el plazo común de tres días naturales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20 de noviembre de 2017, presentó alegaciones en las que, enunciando la jurisprudencia de este Tribunal sobre el particular, interesó la suspensión de la penas privativas de libertad y accesorias de derechos. Argumenta que la denegación de la suspensión causaría al recurrente un perjuicio irreparable o de muy difícil restitución que podría hacer perder al amparo su finalidad por tratarse de unas penas que acumuladas no superan los cinco años de prisión y que no cabe apreciar una perturbación grave a los intereses generales o derechos fundamentales o libertades públicas de un tercero, más allá del genérico que toda inejecución de una resolución judicial supone, constatándose la circunstancia de arraigo a los efectos de valorarse el posible interés en sustraerse a la acción de la justicia. Por el contrario, considera que no debe accederse a suspender la condena a las penas de multa y al pago de las costas procesales por su carácter de consecuencia jurídica de carácter económico que son susceptibles de reparación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escrito registrado el 17 de noviembre de 2017, presentó alegaciones reiterando la solicitud de suspensión por los razonamientos expresados en la demanda de amparo, si bien limitado a la condena de la pena privativa de libertad y accesoria de derechos.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analizar la solicitud de suspensión de la ejecución de la segunda Sentencia de la Sala de lo Penal del Tribunal Supremo núm. 983/2016, de 11 de enero de 2017 —aclarada por Auto de 7 de febrero de 2017—, en lo relativo a las penas privativas de libertad que se imponen al recurrente, únicas cuya suspensión ha sido solicitada. En dicha Sentencia las consecuencias jurídicas impuestas al recurrente han sido (i) la pena de prisión de dos años y diez meses con la accesoria de inhabilitación especial para el derecho de sufragio pasivo durante el periodo de la condena por la comisión de un delito de desórdenes públicos en concurso ideal con impedimento del derecho de reunión con la agravante de obrar por motivos de discriminación ideológica; (ii) la pena de prisión de un año y un mes y multa de catorce meses con cuota diaria de 10 € y responsabilidad personal subsidiaria en caso de impago de la multa de un día de privación de libertad por cada dos cuotas de la multa no abonadas por la comisión de un delito de daños ocasionados en bienes de propiedad pública con la agravante de obrar por motivos discriminatorios ideológicos y la atenuante de reparación del daño; (iii) el pago de las 2/79 partes de las costas del juicio, incluidas las de las acusaciones particulares; y (iv) el pago conjunto y solidario de responsabilidades civiles en las cantidades de 1.372,14 € y 94,2 € para dos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56.1 de la Ley Orgánica del Tribunal Constitucional (LOTC) dispone que la interposición de un recurso de amparo no suspenderá los efectos del acto o Sentencia impugnados, concretando el artículo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94/2015, de 25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Esto último sucede en las condenas a penas privativas de libertad. El carácter prevalente y especialmente preciado de este derecho impone que cualquier decisión respecto de la suspensión de la ejecución efectiva de cualquier restricción, limitación y privación del mismo deba ser adoptada con un singular cuidado y respeto al principio de proporcionalidad en atención a que “la libertad constituye un derecho cuya naturaleza convierte el perjuicio irrogado en irreparable, en caso de estimarse el amparo una vez cumplida parcial o totalmente la pena” (ATC 291/2014, de 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ese modo, este Tribunal ha establecido que en el marco de los recursos de amparo la decisión que debe adoptar de suspensión de las resoluciones judiciales que imponen penas privativas de libertad constituye un juicio complejo en que hay que tomar en consideración diversos factores como son (i) la gravedad y naturaleza de los hechos enjuiciados en atención al bien jurídico protegido y su trascendencia social; (ii) la duración de la pena impuesta; (iii) el tiempo que reste de cumplimiento de la misma; y (iv) la concurrencia de riesgos sobre la efectividad de la acción de la Justicia y la posible desprotección de las víctimas. Entre estos factores, este Tribunal ha destacado que tiene especial relevancia el referido a la duración de la pena impuesta, pues es un criterio que expresa de forma sintética la reprobación que el ordenamiento asigna al hecho delictivo —la importancia del bien jurídico tutelado, la gravedad y trascendencia social del delito— y, en consecuencia, la magnitud del interés general en su ejecución. Así, este Tribunal ha adoptado como una directriz general que la pena se sitúe por encima o por debajo de la frontera de los cinco años de prisión, por ser el límite que ha establecido el propio legislador penal para diferenciar entre las penas graves y las menos graves (art. 33 del Código penal); así, por ejemplo, AATC 52/2017, de 18 de abril, FJ 1, o 35/2017, de 27 de febrero, FJ 2. Del mismo modo, este Tribunal también ha afirmado que la suspensión de la pena privativa de libertad debe conllevar la suspensión de las penas accesorias de inhabilitación que lleven a aparejadas (AATC 52/2017, de 18 de abril, FJ 1, o 49/2016, de 29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 acuerdo con lo también defendido por el Ministerio Fiscal, concurren los requisitos que exige la jurisprudencia constitucional para otorgar la suspensión de la ejecución en cuanto a las penas privativas de libertad y las penas accesorias a las establecidas legalmente para la imposición de las penas privativas de libertad. Su ejecución puede ocasionar al recurrente perjuicios irreparables que harían perder al amparo su finalidad tanto por afectar al valor fundamental de la libertad como porque el resto de circunstancias concurrentes en el caso permiten apreciar que la suspensión no ocasiona una perturbación grave a un interés constitucionalmente protegido ni a los derechos fundamentales o libertades públicas de otra persona. Al margen de la perturbación de la función jurisdiccional que en sí mismo entraña la suspensión de la ejecución de una resolución judicial, no se acreditan riesgos ciertos sobre la efectividad de la acción de la Justicia, ya que el recurrente ha estado a plena disposición de los órganos judiciales, que no adoptaron ninguna medida cautelar de naturaleza personal durante la tramitación de la causa que permita ahora concluir que el eventual aplazamiento en el cumplimiento de la pena que implica una suspensión mientras se tramita el recurso de amparo pueda hacer ineficaz el pronunciamiento condenatorio en caso de ser rechazado el recurso de amparo. También consta que se ha hecho frente al pago de las responsabilidades civiles fijadas y hubo lugar a la aplicación de la atenuación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fin de garantizar la efectividad del cumplimiento de la pena se procederá en el plazo más breve a resolver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segunda Sentencia de la Sala de lo Penal del Tribunal Supremo núm. 983/2016, de 11 de enero de 2017 —aclarada por Auto de 7 de febrero de 2017—, dictada en el recurso de casación núm. 722-2016, exclusivamente en lo referido a las penas privativas de libertad y accesorias a las mismas impuestas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