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5210-2014, planteada por la Sección Segunda de la Sala de lo Contencioso-Administrativo del Tribunal Superior de Justicia de Canarias, con sede en Santa Cruz de Tenerife, respecto del artículo 197.1 a), párrafo tercero en relación con el párrafo segundo, de la Ley Orgánica 5/1985, de 19 de junio, de régimen electoral general, por posible vulneración del artículo 23.2 CE. Han intervenido y formulado alegaciones el Abogado del Estado, el Fiscal General del Estado y la representación procesal de don Álvaro Agustín Dávila González, parte en el proceso judicial del que la cuestión de inconstitucionalidad trae causa.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agosto de 2014 tuvo entrada en el registro general de este Tribunal oficio de la Sección Segunda de la Sala de lo Contencioso-Administrativo del Tribunal Superior de Justicia de Canarias, con sede en Santa Cruz de Tenerife, al que se acompaña, junto con el testimonio del recurso de apelación núm. 67-2014 que se tramita ante dicha Sección, del procedimiento de derechos fundamentales núm. 423-2013 sustanciado ante el Juzgado de lo Contencioso-Administrativo núm. 4 de Santa Cruz de Tenerife, y del correspondiente expediente administrativo, el Auto de 31 de julio de 2014 por el que se acuerda plantear cuestión de inconstitucionalidad respecto del artículo 197.1 a), párrafo tercero en relación con el segundo, de la Ley Orgánica 5/1985, de 19 de junio, del régimen electoral general (LOREG), por posible vulneración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las elecciones locales celebradas el día 22 de mayo de 2011, tuvo lugar el 11 de junio de 2011 la sesión pública de constitución del Ayuntamiento de Tacoronte (Tenerife), prestando juramento los concejales electos y resultando proclamado como Alcalde-presidente de la corporación local don Álvaro Agustín Dávila González, obteniendo trece votos favorables del total de los veintiún miembros electos. De conformidad con lo dispuesto en el artículo 24 del Real Decreto 2568/1986, de 28 de noviembre, por el que se aprueba el Reglamento de organización, funcionamiento y régimen jurídico de las entidades locales, las formaciones políticas que obtuvieron representación comunicaron la constitución de cuatro grupos políticos: Coalición Canaria-PNC, con siete miembros; Grupo Popular (PP) y Grupo Socialista (PSOE), cada uno de ellos con seis, y Alternativa sí se puede por Tenerife (Grupo Municipal Mixto: dos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9 de octubre de 2013, once concejales del ayuntamiento —todos los del Grupo Popular y cinco de los seis pertenecientes al Grupo Socialista— presentaron una moción de censura contra el Alcalde don Álvaro Agustín Dávila González (Coalición Canaria-PNC) y apoyaron otra candidatura firmada por todos ellos y encabezada por uno de los concejales socialistas, don Rodolfo León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11 de octubre de 2013, el único concejal socialista no firmante, don Carlos Medina Dorta, solicitó a la Secretaría General de la corporación que certificara si los restantes miembros del Grupo Socialista habían retirado su apoyo a la moción de censura. En la misma fecha, el Secretario de Organización del PSOE-Canarias comunicó a la Secretaría General del Ayuntamiento la expulsión provisional del partido de los concejales socialistas firmantes de la moción, señalando que el Grupo Municipal Socialista quedaría compuesto exclusivamente por don Carlos Medina Dorta. Adjuntaba a dicha comunicación las resoluciones del PSOE que así lo acordaban. Las expulsiones provisionales, con apertura asociada de expediente disciplinario, se justificaban en que la moción de censura suponía un incumplimiento del acuerdo alcanzado en Canarias, entre el PSOE y Coalición Canaria, para constituir gobiernos de coalición en las instituciones autonómicas, insulares y municipales; en la falta de autorización de los órganos competentes del partido político para la presentación de la moción de censura y en la desatención del requerimiento que se efectuó a los firmantes por la comisión ejecutiva regional del PSC-PSOE en orden a la retirada de aquélla antes de las 10 horas del día 11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18 de octubre de 2013 se comunicó a la Secretaría General de la corporación la expulsión definitiva del partido político de los cinco concejales del Grupo Municipal Socialista firmantes de la moción, acordada por resoluciones de esa misma fecha de la comisión ejecutiva federal del PSOE, reiterándose la nueva composición del grupo municipal (integrado por el concejal restante).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se desprende de las actuaciones, la corporación municipal tiene en Tacoronte veintiún miembros. La sesión en la que se aprobó la moción de censura se celebró el día 22 de octubre de 2013, con once votos a favor, ocho en contra y dos abstenciones, proclamándose alcalde al candidato propuesto, don Rodolfo León Martín.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Álvaro Agustín Dávila González, invocando la vulneración del artículo 23.2 CE, interpuso recurso contencioso-administrativo por el procedimiento especial de protección de derechos fundamentales contra los acuerdos adoptados el día 22 de octubre de 2013 por la mesa de edad y el pleno del Ayuntamiento de Tacoronte, en virtud de los cuales se dispuso la tramitación, sometimiento a votación y aprobación de la moción de censura presentada, que conllevó su destitución y la designación de nuevo alcalde en la persona de don Rodolfo León Martín. La demanda se basaba en el incumplimiento de las exigencias de mayoría reforzada del artículo 197.1 a), párrafo tercero, LOREG, y en la no verificación de dicha mayoría por la Mesa de edad, según dispone el apartado e) del mismo precepto, en la redacción dada a ambas letras por la Ley Orgánica 2/2011, de 28 de enero. Así, señalaba su escrito, frente al régimen ordinario del primer párrafo de la letra a) que establece que la moción de censura deberá ser propuesta, al menos, por la mayoría absoluta del número legal de miembros de la corporación, dispone el párrafo tercero que la citada mayoría debe incrementarse cuando “alguno de los concejales proponentes de la moción haya dejado de pertenecer, por cualquier causa, al grupo político municipal al que se adscribió al inicio de su mandato”, en cuya hipótesis el quórum legal se amplía en un número igual al de concejales no adscritos que promuevan la moción (párrafo segundo de la misma letra, al que el tercer párrafo se remite), correspondiendo verificar a la Mesa de edad que preside el Pleno [apartado e)] “que en ese mismo momento se mantienen los requisitos exigidos en los tres párrafos del apartado a)” y por tanto el de la citada mayoría reforzada. En consecuencia, en el caso enjuiciado en Tacoronte —decía el recurso— era necesario un número de proponentes en el momento de la celebración del Pleno de al menos dieciséis miembros de la corporación, al añadirse a la mayoría ordinaria (mayoría absoluta del numero legal de miembros de la corporación: once concejales) un número igual al de los firmantes que pasaron a la condición de no adscritos tras la expulsión del Grupo Municipal Socialista (cinco, en este caso). Sostenía que esa mayoría reforzada o “quórum de procedibilidad” debe cumplirse, conforme al precepto de referencia, tanto en el momento de la presentación de la moción [artículo 197.1 a) y b) LOREG] como al tiempo de la celebración del Pleno [artículo 197.1 e) LOREG], y que no se satisfacía en esa segunda fase de tramitación a raíz de la expulsión con anterioridad a la celebración del Pleno y con plenitud de efectos de aquellos cinco concejales firmantes de la moción de censura [no adscritos, a tenor del artículo 73.3 de la Ley 7/1985, de 2 de abril, reguladora de las bases de régimen local (LBRL), en la redacción dada por la Ley 57/2003, de 16 de diciembre, de medidas para la modernización del gobierno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sostener su pretensión razonaba adicionalmente que se garantizó a los expulsados lo dispuesto sobre un procedimiento contradictorio en el artículo 8.3 de la Ley Orgánica 6/2002, de 27 de junio, de partidos políticos (en la redacción entonces vigente, posteriormente modificada por la Ley Orgánica 3/2015, de 30 de marzo, de control de la actividad económico-financiera de los partidos políticos); que el reglamento de afiliados y afiliadas del PSOE contempla la plena ejecutividad de la decisión de expulsión y el carácter no suspensivo de los recursos interpuestos ante la comisión federal de ética y garantías; que los miembros de la Mesa de edad formaban parte del grupo de concejales que proponían la moción de censura y que, en fin, la actuación impugnada revelaría una infracción flagrante de las medidas legales anti-transfuguismo, perjudicándose 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todos los argumentos expuestos, y aunque lo descrito acredita —decía el recurso— que no debería haberse tramitado ni adoptado acuerdo alguno por el Pleno por falta de quórum de procedibilidad, la mesa de edad [artículo 197.1 e) LOREG] consideró que las expulsiones no eran firmes y que la limitación de derechos de los representantes debía interpretarse, ex artículo 23 CE, de manera restrictiva, en razón de lo cual concluyó que era de aplicación el primer párrafo del artículo 197.1 a) LOREG y se cumplía la mayoría requerida (once proponentes en el caso del Ayuntamiento de Tacoronte).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lo Contencioso-Administrativo núm. 4 de Santa Cruz de Tenerife, en fecha 5 de febrero de 2014, dictó Sentencia. Razonaba que es causa de transfuguismo, subsumible en el párrafo tercero del artículo 197.1 a) LOREG, la pérdida de la condición de miembro de un partido político debida a una expulsión por razones disciplinarias derivadas de la ruptura de la disciplina de partido, sin que la dicción legal “haya dejado de pertenecer por cualquier causa”, contenida en ese precepto, pueda reducirse a supuestos de abandono voluntario del grupo político, ya que esa lectura contradice el texto normativo. Al considerar de aplicación el artículo 73.3 LBRL, según redacción dada por la Ley 57/2003, de 16 de diciembre, con la consecuencia de la pérdida de adscripción de los concejales expulsados al Grupo Municipal Socialista, y después de enjuiciar el procedimiento disciplinario seguido internamente en la organización política, que creyó debidamente tramitado a la vista de la regulación del reglamento de afiliados y afiliadas del PSOE, resultaba para el juzgador de aplicación al caso el párrafo tercero del artículo 197.1 a) LOREG, por lo que la propuesta de moción de censura debía ser apoyada por la mayoría absoluta del número legal de miembros de la corporación pero incrementada en el mismo número de concejales que los que dejaron de pertenecer al Grupo Municipal Socialista. Por todo lo cual acogió la pretensión de la parte actora, declaró vulnerado el artículo 23.2 CE y anuló los acuerdos de 22 de octubre de 2013, con reconocimiento del derecho del recurrente a ser restablecido en el cargo de Alcalde-presidente del Ayuntamiento de Tacoronte.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cinco concejales expulsados del PSOE interpusieron recurso de apelación contra la Sentencia de 5 de febrero de 2014. Aducían, entre otros motivos: i) la falta de firmeza de las expulsiones y su carácter no ejecutivo (al haber sido impugnadas ante el comité federal de ética y garantías del PSOE con solicitud de suspensión de las resoluciones sancionadoras, a fin de facilitar en su caso el control judicial); ii) la existencia de irregularidades en el procedimiento interno sancionatorio (por incompetencia del órgano que sancionó y por falta de notificación de la expulsión con carácter previo a la celebración del Pleno de la moción de censura); iii) la manifiesta arbitrariedad de las decisiones adoptadas (por no estar contenida en el pacto regional pretendidamente incumplido la prohibición de mociones de censura en el Ayuntamiento de Tacoronte, así como por desigual trato con respecto a otros compañeros en situación similar en otras localidades canarias); iv) la lesión del derecho de defensa (denegación de pruebas en el expediente disciplinario), y, en fin, v) la interpretación errónea efectuada por la sentencia de instancia sobre el párrafo tercero del artículo 197.1 a) LOREG, que regiría únicamente supuestos de abandono voluntario del grupo político, no así casos de expulsión, menos aun cuando es la mayoría del grupo la que sostiene la moción de censura, como ocurría en esta ocasión. Los concejales del PP firmantes de la moción de censura recurrieron igualmente la citada sentencia, coincidiendo en esencia en las alegaciones que vienen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Conclusa la tramitación del recurso de apelación, y dentro del plazo señalado para dictar sentencia, la Sección Segunda de la Sala de lo Contencioso-Administrativo del Tribunal Superior de Justicia de Canarias, con sede en Santa Cruz de Tenerife, mediante providencia de 23 de junio de 2014, acordó conferir un plazo común de diez días a las partes y al Ministerio Fiscal para que, de conformidad con el artículo 35.2 de la Ley Orgánica del Tribunal Constitucional (LOTC), formularan alegaciones sobre la pertinencia de plantear cuestión de inconstitucionalidad en relación con el artículo 197.1 a) LOREG “por infringir el artículo 23.2 CE al privar del derecho al ejercicio del cargo público a los concejales disidentes con las instrucciones de los órganos directivos de sus partidos con ocasión de la votación de las mociones de censura, porque establece medidas equivalentes a la privación del derecho a voto en los plenos donde se decide la moción de censura”. Al evacuar al trámite de alegaciones, las partes del proceso y el Ministerio Fiscal consideraron innecesario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31 de julio de 2014 de la Sección Segunda de la Sala de lo Contencioso-Administrativo del Tribunal Superior de Justicia de Canarias, con sede en Santa Cruz de Tenerife, fundamenta con base en las siguientes consideraciones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responde la Sala a las objeciones que se suscitaron en el trámite de alegaciones [fundamento de Derecho primero]. En particular, razona a la vista del enunciado de la previsión normativa: i) que el precepto cuestionado no opera solo en casos de baja voluntaria en la formación política sino también en supuestos de salida forzosa, como sucede con la expulsión por sanción disciplinaria (“por cualquier causa”, dice la Ley Orgánica del régimen electoral general, mientras que el artículo 73.3 LBRL dispone que los concejales expulsados de la formación política con la que concurrieron a las elecciones dejarán de pertenecer al grupo político y serán considerados no adscritos); ii) que se aplica el precepto cuestionado a los concejales que dejan el grupo con independencia de que sean mayoría o minoría de sus integrantes (así lo acredita nuevamente el artículo 73.3 LBRL, del que se desprende que cuando la mayoría del grupo político municipal deja de pertenecer a la formación política permanece en el grupo político la minoría, siendo la mayoría saliente la afectada por las normas contra el transfuguismo); iii) que se dan los presupuestos de hecho para exigir la mayoría reforzada en la propuesta de moción de censura, rechazando en ese punto la alegada falta de efectos de la expulsión en el momento de celebrarse la sesión plenaria por cualquiera de las siguientes causas: por no haberse seguido un procedimiento contradictorio para imponer la sanción, por haberse dictado la resolución sancionadora por órgano incompetente, por no haber sido notificada ésta a los interesados o, finalmente, por no ser ejecutiva en tanto estuviera pendiente de resolución el recurso interno previsto estatutariamente (art. 66.2 del reglamento de afiliados y afiliadas del PSOE).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fundamento de Derecho segundo se ocupa de los motivos de fondo de la cuestión de inconstitucionalidad. Entiende la Sala que la medida cuestionada, establecida para combatir el transfuguismo, supone limitaciones al ejercicio del cargo público de los concejales que dejan de pertenecer a la formación política por la que concurrieron a las elecciones, pasando a la condición de no adscritos. Tales limitaciones afectan directamente, a su criterio, al núcleo esencial de la función representativa que constitucionalmente tienen atribuida; en concreto, a la facultad de control de la acción de gobierno a través del apoyo de mociones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incremento de la mayoría absoluta requerida con carácter general, a juicio de la Sala, convierte la posibilidad de que dichos concejales patrocinen una moción de censura en meramente nominal, privando a sus apoyos de efecto alguno. Esas restricciones, por más que se aprueben contra el transfuguismo, en tanto que inciden en el núcleo esencial de la función representativa (art. 23.2 CE), no pueden venir justificadas por la disciplina de partido ni por la relevancia que la Constitución y las leyes electorales brindan a los partidos políticos como canalizadores del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a propuesta de la Sección Cuarta de este Tribunal, el Pleno acordó admitir a trámite la cuestión de inconstitucionalidad núm. 5210-2014 y reservarse para sí el conocimiento de la misma, dando traslado de las actuaciones recibidas, de conformidad con el artículo 37.3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Igualmente se acordó comunicar esta resolución a la Sección Segunda de la Sala de lo Contencioso-Administrativo del Tribunal Superior de Justicia de Canarias, con sede en Santa Cruz de Tenerife, a efectos de lo dispuesto en el artículo 35.3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a este Tribunal, mediante escrito registrado con fecha 12 de febrero de 2015, que la Mesa de la Cámara ha adoptado el acuerdo de personarse en el proceso, ofreciendo su colaboración a los efectos del artículo 88.1 LOTC. Idéntica comunicación efectuó el Presidente del Senado mediante escrito registrado en este Tribunal el día 18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presente proceso constitucional en nombre del Gobierno y formuló alegaciones mediante escrito registrado el 27 de febrero de 2015, solicitando que se dictase sentencia desestimatoria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juicio ha de hacerse desde la perspectiva del derecho reconocido en el artículo 23.2 CE, sin soslayar que el legislador, a través de lo dispuesto en el artículo 197.1 a) LOREG, concreta su potestad de configuración legal del derecho fundamental conciliando y coordinando normativamente los dos principios que sustentan su reconocimiento constitucional: el principio de soberanía popular, que fundamenta el derecho a la participación política, y el principio de representatividad democrática, que fundamenta el derecho al ejercicio del cargo electoral. Dicho lo anterior, después de enunciar la prevalencia del principio representativo y el límite de no defraudar la voluntad popular, afirma que en una democracia representativa “el derecho preponderante debe serlo el que se predique más directamente del titular de la soberanía, no tanto el del mandatario que la ejerce por cuenta de aquel. Ni tampoco el del partido político… meras entidades instrumentales del titular de la soberanía”. Y señala que la norma controvertida persigue garantizar esa prevalencia, conteniendo por ello el artículo 197.1 a) párrafo tercero LOREG un requisito ajustado a la Constitución, en cuanto que se encomienda a salvaguardar la voluntad colectiva del cuerpo electoral con una limitación razonable a la actuación de los concejales electos, dirigida a evitar un fraude al electorado a través de la alteración de la orientación política del órgano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con fecha de 27 de febrero de 2015, se personó en el presente proceso constitucional la Procuradora de los Tribunales doña Inés Tascón Herrero, en nombre y representación de don Álvaro Agustín Dávila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5 de marzo de 2015 de la Secretaría de Justicia del Pleno de este Tribunal se tuvo por personada y parte a la citada procuradora en la representación que ostenta, acordándose entender con ella las sucesivas actuaciones y concediéndole, conforme establece el artículo 37.2 LOTC, un plazo de 15 días para que formulase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día 10 de marzo de 2015, interesando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tanto la Sentencia del Juzgado de lo Contencioso-Administrativo núm. 4 de Santa Cruz de Tenerife como el Auto de planteamiento de la cuestión de inconstitucionalidad parten de la ejecutividad de la sanción de expulsión, lo que fija el presupuesto de hecho de la aplicación del precepto cuestionado. Sentada esa base fáctica, recuerda la doctrina del Tribunal Constitucional sobre el artículo 23.2 CE (con cita de las SSTC 246/2012, de 20 de diciembre, 39/2008, de 10 de marzo, 298/2006, de 23 de octubre, 40/2003, de 27 de febrero, y 231/1998, de 1 de diciembre), la establecida sobre la naturaleza de la moción de censura, reproduciendo parcialmente la STC 81/2012, de 18 de abril, o la relativa a la determinación de diferencias de trato a los concejales no adscritos (SSTC 246/2012, de 20 de diciembre, y 9/2012,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encuadrado doctrinalmente el conflicto interpretativo, señala sobre el objeto del enjuiciamiento: i) que los párrafos segundo y tercero del artículo 191 a) LOREG regulan supuestos de separación —por cualquier causa— de la línea ideológica del grupo político con el que se haya concurrido a las elecciones; ii) que se opta en ellos por un quórum reforzado en la propuesta de moción de censura; un quórum que, por sí mismo, no impide la formación de la mayoría exigida, ni constituye una especie de potestad de tutela de los partidos sobre el municipio contraria a su autonomía (aunque destaque que en ciertos supuestos —grupos numéricamente importantes que dejen de pertenecer a una formación política— el quórum exigido podría resultar de imposible cumplimiento al acercarse a la unanimidad); iii) que la norma no afecta al ejercicio del derecho de voto, aunque relativice su fuerza como ocurre siempre en los supuestos de mayorías reforzadas, lo que no es objetable porque no puede exigirse una proporcionalidad estrictamente matemática (STC 30/1993, de 25 de enero); iv) que la competencia en materia de moción de censura, según dispone el artículo 22.2 a) LBRL, se atribuye al Pleno, cuyas facultades no se alteran en la regulación legal cuestionada y v) que a diferencia de lo resuelto en las SSTC 246/2012, de 20 de diciembre, 81/2012, de 18 de abril y 169/2009, de 9 de julio, en las que se analizó la privación de una facultad inherente al núcleo de la función representativa, el quórum reforzado, en el precepto a examen, no supone la anulación del derecho al voto, ni impide que pueda prosperar la moción de censura, por lo que no acarrea un vaciamiento del núcleo esencial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considera el Fiscal General del Estado que “la restricción impuesta en el precepto cuestionado no resulta desproporcionada, responde a un fin legítimo, manteniendo la relevancia de las opciones políticas en relación con los partidos a la hora de constituir las formaciones políticas que constituyen las Corporaciones locales [y] no resulta un impedimento artificial, sino relacionado con la adscripción política y adecuado y limitado al número de Concejales afectados”. Por todo ello, termina su escrito manifestando que, “al menos con carácter general, el quórum reforzado no anula el ejercicio [de] la función representativa de los Concejales en cuanto a la capacidad efectiva de proponer un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marzo de 2015, registró sus alegaciones la representación procesal de don Álvaro Agustín Dávila González. Formula una primera precisión referente al juicio de relevancia realizado por el órgano judicial: el apartado a) del artículo 197.1 LOREG, cuestionado por el Auto de planteamiento, regula el quórum inicial para la presentación de la moción de censura y no resultaría, por consiguiente, de aplicación al supuesto de hecho, toda vez que los cinco concejales del Grupo Socialista pasaron a la condición de no adscritos con posterioridad a la presentación inicial de la moción de censura. Sería, antes bien, el apartado e) del precepto el que operaría en el caso de autos, pues es éste y no aquél el que regula el quórum de admisión de la moción en un segundo momento, el previo a su votación plenaria, reclamando que sea sustentada también en esa fase de su tramitación por el número de concejales que establece en sus distintos apartados el artículo 197.1 a) LOREG, lo que no se cumplió en la moción promovida en el Ayuntamiento de Tacoronte.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cuestión de fondo, razona el escrito que no se menoscaba ninguno de los derechos de los concejales no adscritos que integran la función de control político del gobierno local a través de la moción de censura (promoción, proposición como candidato y votación). No estando a debate la mayoría exigida en la votación, sino solo el quórum de presentación, el artículo 197.1 a) LOREG, al que se remite el apartado e), únicamente refuerza el quórum de procedibilidad, agravando la posición del concejal no adscrito frente al adscrito, pero sin privarle de su función representativa. Esa diferenciación entre concejales adscritos y no adscritos no es inconstitucional, al ser legítimo su fin (potenciar o fomentar la fidelidad del concejal electo al grupo de procedencia, dificultando que los tránsfugas alteren los gobiernos municipales), resultando expresión de uno de los valores del ordenamiento constitucional, cual es el pluralismo político vertebrado a través de los partidos políticos y el ejercicio esencialmente colectivo del cargo representativo, aunque su titularidad sea individual. Así lo acreditaría, por ejemplo, que ningún candidato pueda presentarse individualmente a una elección municipal, que se articulen los grupos políticos municipales en función de la formación o candidatura política de procedencia o, en fin, que determinadas actuaciones solo puedan ser realizadas a través de dichos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escrito, en el acto de la elección el ciudadano elector no deposita su confianza ni confiere su representación a una persona concreta, sino a una candidatura, máxime cuando rige en las elecciones municipales el sistema de lista cerrada o bloqueada. Esta imbricación entre el candidato electo y la candidatura o lista electoral no se diluye con ocasión de la elección, sino que se proyecta a lo largo de todo el mandato a través del grupo parlamentario o grupo político. Todo ello otorga fundamento y legitimidad constitucional al artículo 197.1 a) LOREG, pues contravenir o enfrentarse a las pautas del partido político con el que se concurrió a las elecciones supone una quiebra o fraude a los compromisos implícitos asumidos ante el electorado. Por tanto, al agravar la posición del tránsfuga, el artículo 197.1 a) LOREG encarna un punto intermedio admisible, reforzando los requisitos para el ejercicio de facultades de trascendencia en la conformación del gobierno local (como son las mociones de censura) cuando la posición adoptada resulte manifiestamente contradictoria con la de la formación política a cuyas listas se pertenecía en el momento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diciembre de 2017,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Sección Segunda de la Sala de lo Contencioso-Administrativo del Tribunal Superior de Justicia de Canarias, con sede en Santa Cruz de Tenerife, respecto del artículo 197.1 a), párrafo tercero en relación con el segundo, de la Ley Orgánica 5/1985, de 19 de junio, de régimen electoral general (LOREG), en la redacción dada por la Ley Orgánica 2/2011, de 28 de enero, por posible vulneración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1 del artículo 197 LOREG, en el que se integra el párrafo tercero del apartado a) sujeto a consideración pero también el párrafo segundo de la misma letra, al que el tercero se remite, y el apartado e), que la representación procesal de don Álvaro Agustín Dávila González invoca como de aplicación al caso sustanciado en el proceso judicial,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Alcalde puede ser destituido mediante moción de censura, cuya presentación, tramitación y votación se regirá por las siguientes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moción de censura deberá ser propuesta, al menos, por la mayoría absoluta del número legal de miembros de la Corporación y habrá de incluir un candidato a la Alcaldía, pudiendo serlo cualquier Concejal cuya aceptación expresa conste en el escrito de proposición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alguno de los proponentes de la moción de censura formara o haya formado parte del grupo político municipal al que pertenece el Alcalde cuya censura se propone, la mayoría exigida en el párrafo anterior se verá incrementada en el mismo número de concejales que se encuentren en tales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supuesto será de aplicación cuando alguno de los concejales proponentes de la moción haya dejado de pertenecer, por cualquier causa, al grupo político municipal al que se adscribió al inicio de su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en el que se proponga la moción de censura deberá incluir las firmas debidamente autenticadas por Notario o por el Secretario general de la Corporación y deberá presentarse ante éste por cualquiera de sus firmantes. El Secretario general comprobará que la moción de censura reúne los requisitos exigidos en este artículo y extenderá en el mismo acto la correspondiente diligencia acreditativa.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documento así diligenciado se presentará en el Registro General de la Corporación por cualquiera de los firmantes de la moción, quedando el Pleno automáticamente convocado para las doce horas del décimo día hábil siguiente al de su registro. El Secretario de la Corporación deberá remitir notificación indicativa de tal circunstancia a todos los miembros de la misma en el plazo máximo de un día, a contar desde la presentación del documento en el Registro, a los efectos de su asistencia a la sesión, especificando la fecha y hora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Pleno será presidido por una Mesa de edad, integrada por los concejales de mayor y menor edad de los presentes, excluidos el Alcalde y el candidato a la Alcaldía, actuando como Secretario el que lo sea de la Corporación, quien acreditará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Mesa se limitará a dar lectura a la moción de censura, constatando para poder seguir con su tramitación que en ese mismo momento se mantienen los requisitos exigidos en los tres párrafos del apartado a), dando la palabra, en su caso, durante un breve tiempo, si estuvieren presentes, al candidato a la Alcaldía, al Alcalde y a los Portavoces de los grupos municipales, y a someter a votación la moción de censura”.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entiende que el párrafo tercero de la letra a), establecido como medida para combatir el transfuguismo, configura limitaciones contrarias al derecho del artículo 23.2 CE, imponiendo restricciones en el núcleo esencial de los derechos propios del ejercicio del cargo público para los concejales que dejan de pertenecer a la formación política por la que concurrieron a las elecciones, pasando a la condición de no adscritos. En otras palabras, instituye obstáculos en la función de control de la acción de gobierno a través del apoyo a la iniciativa de mociones de censura en el ámbito local. En su opinión, el incremento que aquel párrafo tercero, por remisión al segundo, ordena sobre la mayoría absoluta exigida con carácter general en el primer párrafo de la letra a) del artículo 197.1 LOREG convierte en meramente nominal la posibilidad de que dichos concejales no adscritos impulsen una moción de censura, privando a sus adhesiones de efecto alguno en relación con la promoción de la misma, lo que contradice la cobertura ofrecida por el derecho fundamental consagrado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Fiscal General del Estado como el Abogado del Estado y don Álvaro Agustín Dávila González, alcalde contra quien se dirigió la moción de censura aprobada en el pleno municipal del Ayuntamiento de Tacoronte en sesión celebrada el día 22 de octubre de 2013, interesan la desestimación de la cuestión de inconstitucionalidad. El Fiscal General del Estado aduce que la restricción impuesta en la previsión normativa responde a un fin legítimo y no constituye un impedimento artificial, sin que el quórum reforzado que prescribe para la propuesta de una moción de censura anule el ejercicio de la función representativa de los concejales no adscritos. El Abogado del Estado, de su lado, recuerda que el artículo 23.2 CE es un derecho de configuración legal y subraya tanto la prevalencia del principio representativo como la necesidad de no defraudar la voluntad popular, finalidades legítimas a cuya garantía respondería el artículo 197.1 a) tercer párrafo LOREG. También postula la constitucionalidad de la regulación legal la representación procesal de don Álvaro Agustín Dávila González, para quien ninguno de los derechos que integran la función de control político del gobierno local a través de la moción de censura (promoción, proposición como candidato y votación) queda mermado para los concejales no adscritos en el precepto de referencia, resultando que, antes bien, con los fines constitucionalmente legítimos de dificultar la alteración de gobiernos municipales por la acción de tránsfugas y garantizar el pluralismo político (arts. 1.1 y 6 CE), el legislador solo agrava la posición y el ejercicio del derecho de promoción de la moción —que sin embargo no invalida— por parte de quienes se enfrentan o contravienen las pautas del partido político con el que concurrieron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procesal de don Álvaro Agustín Dávila González, sin formular propiamente una objeción de admisibilidad, realiza una precisión sobre el juicio de relevancia satisfecho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su parecer, el apartado a) del artículo 197.1 LOREG, cuestionado en su párrafo tercero por el Auto de planteamiento, regula el quórum inicial para la presentación de la moción de censura, no así el apoyo necesario en una fase posterior del procedimiento, la de su votación plenaria, prescrito en el apartado e) del mismo precepto, bien que con remisión al régimen de mayorías de la indicada letra a). En sentido estricto, por tanto, el apartado a) no constituiría la previsión normativa rectora del caso, ya que los referidos cinco concejales del Grupo Socialista pasaron a la condición de no adscritos en el lapso de tiempo entre la presentación inicial de la moción de censura —momento en el que, no habiéndose dado aún su expulsión del grupo municipal, regía y se satisfacía la regla de la mayoría absoluta del número legal de miembros de la corporación del artículo 197.1 a), primer párrafo, LOREG— y el de su votación en el pleno municipal, cuando ya no se respetaba el quórum exigible, pues en ese segundo momento se había producido la desvinculación de aquellos concejales del grupo político municipal. Entonces ya era de aplicación la mayoría reforzada controvertida, conforme a lo dispuesto en la letra e) y la remisión que contiene, a saber: el quórum cualificado del párrafo segundo, que opera por remisión del tercero, de la letra a) del artículo 197.1 LOREG. En otras palabras, sería aplicable al supuesto enjuiciado en el proceso judicial el apartado e) de la norma, en el que se insta a que la mesa de edad verifique en ese trámite inmediatamente anterior a la votación plenaria que la iniciativa está sustentada, como cuando fue promovida, por el número de concejales que establece, para las diversas hipótesis reguladas, el artículo 197.1 a) LOREG en sus distintos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números 1 y 2 del artículo 35 de la Ley Orgánica del Tribunal Constitucional (LOTC) exigen, respectivamente, que la norma con rango de ley de la que tenga dudas un juez o tribunal sea aplicable al caso y que el órgano judicial especifique o justifique, en el Auto de planteamiento de la cuestión de inconstitucionalidad, en qué medida la decisión del proceso depende de la validez de la previsión discutida. Nuestra jurisprudencia ha interpretado tales exigencias como la apelación a una dependencia o nexo de subordinación entre el fallo del proceso y la validez de la norma (por todas, STC 79/2015, de 30 de abril, FJ 3), en el bien entendido que a este Tribunal únicamente le corresponde un control externo sobre el juicio realizado, que excluye la revisión del criterio sentado por el órgano judicial salvo que resulte con toda evidencia errado, porque sea notoriamente inconsistente o equivocada la argumentación judicial sobre la aplicabilidad de la norma al caso o porque de manera patente, sin necesidad de examinar el fondo debatido y conforme a principios jurídicos básicos, se advierta que el razonamiento en relación con el juicio de relevancia resulta falto de consistencia (entre tantas otras, en ese sentido, STC 43/2015, de 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razonará a continuación, la advertencia que realiza la representación procesal de don Álvaro Agustín Dávila González al evacuar el trámite de alegaciones no enmienda aquel imprescindible nexo de subordinación entre el fallo del proceso y la validez de la previsión normativa a la que alude el Tribunal Superior de Justicia de Canarias en su Auto de 31 de julio de 2014. Esa circunstancia determina que este Tribunal deba estar, sin perjuicio de las precisiones que siguen, al planteamiento realizado por el órgano judicial promotor de la cuestión (por todas, STC 110/2015, de 28 de mayo, FJ 3), considerando cumplido el juicio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recurso contencioso-administrativo interpuesto por el procedimiento especial de protección de derechos fundamentales contra los acuerdos adoptados el día 22 de octubre de 2013 por la mesa de edad y el pleno del Ayuntamiento de Tacoronte se concretaba la vulneración denunciada del modo siguiente: “infracción del art. 197 a) LOREG. Incumplimiento manifiesto del quórum de procedibilidad reforzado derivado de la expulsión del PSOE de 5 de los firmantes de la propuesta de moción de censura”. En el desarrollo del motivo se diferenciaba, en efecto, el quórum de votación del de “procedibilidad” y, dentro de éste, el inicial de presentación de la moción de censura [apartado a) del artículo 197.1 LOREG, en la pluralidad de supuestos regulados] y el correspondiente al tiempo de la celebración del pleno [apartado e)], subrayándose que fue en este último momento en el que se produjo el incumplimiento de la mayoría necesaria para la promoción de la moción de censura luego aprobada en el Ayuntamiento de Tacoronte. Y también se alegaba, como por lo demás enuncia inequívocamente la regulación legal cuestionada, que existe una correlación o conformidad en el parámetro de cómputo en los dos trámites de verificación del quórum de procedibilidad (inicial y de votación), como consecuencia de la remisión que el apartado e) practica a las mayorías de la letra a) de esa previsión normativa y de la concurrencia ad casum del supuesto del párrafo tercero de ese primer apartado del artículo 197.1 LOREG; esto es, concejales proponentes de la moción que dejaron de pertenecer al grupo político municipal al que se adscribieron al inicio de su mandato. En suma, se suscita la controversia en torno a la regularidad del incremento previsto sobre la mayoría absoluta del número legal de miembros de la corporación —regla general del párrafo primero de la letra a)— en un número igual al de concejales proponentes de la moción que se encuentren en la circunstancia descrita en el párrafo tercero del apartado a) del artículo 197.1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más que la infracción denunciada se sitúe en el recurso contencioso-administrativo en la incorrecta verificación del quórum por la Mesa de edad y se predicara, por consiguiente, del apoyo necesario para proceder a la votación en el plenario [apartado e)], y no entonces en la (coincidente) mayoría requerida para la presentación inicial de la moción [apartado a) del artículo 197.1 LOREG, al que el apartado e) se remite], se aprecia de modo fehaciente que la proporción de apoyos del cuerpo deliberante de cuya constitucionalidad depende la solución del proceso judicial está contenida, por efecto de una remisión, en el apartado a) del artículo 197.1 LOREG que el órgano judicial invoca, y que es, en todo caso, una e inequívoca y justamente la que explicitaba el recurso contencioso-administrativo, la que fue objeto de alegación por las partes y la que se cuestiona en el Auto de planteamiento de 31 de julio de 2014; a saber: la prescrita en el párrafo tercero en relación con el segundo del artículo 197.1 a), aunque opere en el supuesto de hecho, vistas las circunstancias del caso, a tenor de la remisión que el apartado e) efectúa a su régimen jurídico. De ninguna otra variable distinta del parámetro de mayoría nacido de tal remisión pero regulado en el apartado a) que se impugna depende la resolución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observar que el apartado e) del artículo 197.1 LOREG reclama a la Mesa de edad que constate con ocasión de la sesión plenaria, para poder seguir con la tramitación de la moción de censura y proceder a la votación, “que en ese mismo momento se mantienen los requisitos exigidos en los tres párrafos del apartado a)”, y que es, por tanto, el régimen legal de mayorías contenido en esa primera letra del núm. 1 del artículo 197 el que supedita la decisión del litigio referido a la moción de censura en el Ayuntamiento de Tacoronte.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 fuer de ser fieles a lo dispuesto en los artículos 163 CE y 35 LOTC en orden a los presupuestos del proceso de inconstitucionalidad en la modalidad que se sigue, no procede una respuesta con abstracción del litigio (por todas, SSTC 21/1985, de 15 de febrero, FJ 1; 201/2011, de 13 de diciembre, FJ 2, o 43/2015, de 2 de marzo, FJ 3), por lo que debe aclararse que, aunque es la previsión cuestionada la que podría, en su caso, ser considerada inconstitucional [párrafo tercero, en relación con el segundo de la letra a)], el alcance de tal declaración quedaría circunscrito al trámite procedimental que, regulado por ella en cuanto al quórum, resulta efectivamente concernido en el proceso judicial de origen; esto es, el régimen jurídico que el párrafo tercero en relación con el segundo de la letra a) dispone para el momento previo a la votación plenaria conforme a la remisión de la letra e) del precepto. Todo ello sin perjuicio de que, en su caso, a tenor de lo previsto en el artículo 39.1 LOTC (por todas, STC 83/2015, de 30 de abril, FJ 2), este Tribunal pudiera extender esa declaración de inconstitucionalidad por conexión o consecuencia al supuesto que directamente regula, al margen de toda remisión a su régimen jurídico, la indicada letra a) (con el mismo quorum pero para el momento inicial de presentación de la iniciativa) o a otros supuestos concernidos por la remisión de la letra e) (como el del párrafo segundo de aquella primera letra del precepto, que establece el mismo régimen jurídico que ahora se impugna pero para el caso de que alguno de los proponentes de la moción de censura formara o haya formado parte del grupo político municipal al que pertenece el alcalde cuya censura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entendida en esos términos la identificación de la norma y no habiendo confundido ni dificultado la alegación de las partes, debe descartarse un óbice de procedibilidad asociado a los requisitos del artículo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Conviene aclarar, de otra parte, que el Auto de planteamiento cuestiona el párrafo tercero del apartado a) del artículo 197.1 LOREG “en relación con el segundo”. Demanda ese dato una doble explicación suplementaria. En primer lugar, se analiza en el caso de autos (moción de censura contra un alcalde integrado en un grupo político al que ni pertenecen ni pertenecieron los proponentes) un supuesto encuadrable en el párrafo tercero y no en el definido por el párrafo segundo de la letra a) mociones en las que alguno de los proponentes forme o haya formado parte del grupo político municipal al que pertenece el alcalde cuya censura se procura, por más que, como se ha dicho, el régimen jurídico sea coincidente en esos dos párrafos de la letra a) en cuanto a la mayoría necesaria para la fase procedimental regulada en la letra e) del artículo examinado. A pesar de que —y se trata de la segunda explicación— algunas oraciones y proposiciones contenidas en el Auto de planteamiento que podrían llevar inicialmente a confusión, se evidencia que no está a debate en el recurso contencioso-administrativo de origen, ni en el planteamiento judicial ante este Tribunal, la mayoría necesaria para que prospere la moción de censura en la votación plenaria, que tuvo lugar en el presente caso el día 22 de octubre de 2013, pues el quórum o proporción de apoyos en dicha votación no sufre alteraciones sobre el régimen ordinario en ningún caso; esto es, al margen de que persista o no en ese momento el escenario contemplado para la fase de iniciativa en el tercer párrafo de la letra a) del artículo 197.1 LOREG o, en su caso, aunque aquí no sea objeto de impugnación, el del segundo párrafo de esa misma letra. Únicamente está sujeto a consideración, en suma, el apoyo exigido para proceder a la tramitación en el plenario y sometimiento a votación de la moción de censura promovida, conforme dispone la letra e) del precepto por referencia, a tenor de la repetida remisión que esa letra contiene a las mayorías requeridas en la letra a) párrafo tercero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vinculación que enuncia el Auto de planteamiento entre aquellos dos párrafos de la letra a), segundo y tercero se debe únicamente a que es en el segundo donde se fija —de nuevo por remisión, ahora del que le sucede— el parámetro de mayorías para el supuesto de hecho contemplado en este último, que es el aplicable en casos como el enjuiciado en el proceso judicial de origen, según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perjuicio de lo previsto en el artículo 39.1 LOTC, la duda de constitucionalidad deberá ceñirse, pues, a la validez del párrafo tercero del apartado a) del artículo 197.1 LOREG en tanto que contiene el régimen jurídico que determina, a raíz de la repetida remisión de la letra e), que en el momento inmediatamente anterior a la votación de la moción de censura en el plenario debe satisfacerse el quórum del párrafo segundo de la misma letra a) cuando alguno de los concejales proponentes de la moción haya dejado de pertenecer, por cualquier causa, al grupo político municipal al que se adscribió al inicio de su mandato y, además, en función de la especialidad del párrafo segundo, siempre que no formara o haya formado parte del grupo político municipal al que pertenece el alcalde cuya censura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reiterada doctrina de este Tribunal, el artículo 23.2 CE consagra la dimensión pasiva del derecho de participación política, reconociendo el derecho de los ciudadanos a acceder en condiciones de igualdad a las funciones y cargos públicos con los requisitos que señalen las leyes. A este contenido explícito del precepto ha ligado nuestra jurisprudencia un contenido implícito cual es, en primer lugar, el derecho a permanecer, en condiciones de igualdad y con los requisitos que señalen las leyes, en los cargos o funciones públicas a los que se accedió (STC 5/1983, de 4 de febrero, FJ 3), no pudiendo ser removido el cargo electo de los mismos si no es por causas y de acuerdo con procedimientos legalmente establecidos (STC 10/1983, de 21 de febrero, FJ 2). En segundo lugar, el derecho al ejercicio o desempeño del cargo público representativo conforme a lo previsto en las leyes (por ejemplo, STC 246/2012, de 20 de diciembre, FJ 2). Y finalmente y respecto de cualquiera de esas dimensiones que hemos identificado como integrantes del derecho de participación política reconocido en el artículo 23.2 CE —acceso, permanencia y ejercicio—, la garantía de su perfeccionamiento en condiciones de igualdad y de acuerdo con los requisitos que señalen las leyes (por todas, STC 298/2006, de 23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se ha subrayado de modo invariable y constante el carácter de derecho de configuración legal del consagrado en el artículo 23.2 CE, de suerte que corresponde a la ley fijar y ordenar las derechos y atribuciones de los representantes electos que, “una vez creados, quedan integrados en el [e]status propio del cargo, con la consecuencia de que podrán sus titulares, al amparo del artículo 23.2 CE, reclamar su protección cuando los consideren ilegítimamente constreñidos o ignorados por actos del poder público, incluidos los provenientes del propio órgano en que se integren” (entre tantas otras, STC 36/2014, de 27 de febrero,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también se ha hecho constar en la jurisprudencia constitucional que la vulneración de los derechos de los representantes contenidos en el artículo 23.2 CE no se verifica con cualquier acto que infrinja el estatus jurídico aplicable, “pues a estos efectos sólo poseen relevancia constitucional los derechos o facultades atribuidos al representante que pertenezcan al núcleo de su función representativa” (v. gr., SSTC 141/2007, de 18 de junio, FJ 3; 169/2009, de 9 de julio, FJ 2; 20/2011, de 14 de marzo, FJ 4; 117/2012, de 4 de junio, FJ 3, o 36/2014,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quedan encuadradas en ese núcleo de la función representativa aquellas funciones que solo pueden ejercer los titulares del cargo público por ser la expresión del carácter representativo de la institución (STC 169/2009, de 9 de julio, FJ 3, por ejemplo). A saber y situados en el ámbito local que nos ocupa: participar en la actividad de control del gobierno local y en las deliberaciones del pleno de la corporación; votar en los asuntos sometidos a este órgano; obtener la información necesaria para poder ejercer las facultades anteriores y, por último, participar en las comisiones informativas (por enunciarlas en su integridad, STC 246/2012, de 20 de diciembre, FJ 7). En consecuencia, con las precisiones que se efectuarán en los sucesivos fundamentos jurídicos, el presupuesto del que partimos al analizar el régimen cuestionado, previsto para la moción de censura local, es que los miembros de una corporación local cuentan entre las funciones que pertenecen a ese núcleo representativo, entre otras, en todo caso y, por tanto, también en el de los concejales no adscritos, con la de participar en la actividad de control del gobierno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sido destacado con reiteración que el párrafo tercero del apartado a) del artículo 197.1 LOREG —atendida la remisión de la letra e) del precepto y la fase procedimental a la que esta última se refiere— determina que en el momento inmediatamente anterior a la votación de la moción de censura en el plenario debe satisfacerse el quórum del párrafo segundo de aquella primera letra del artículo controvertido, siempre que alguno de los concejales proponentes de la moción haya dejado de pertenecer, por cualquier causa, al grupo político municipal al que se adscribió al inicio de su mandato y no forme o haya formado parte del grupo político municipal al que pertenece el alcalde cuya censura se propone (en función, esto último, de la especialidad definida en el párrafo segundo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es concebible la hipótesis de la inconstitucionalidad que enuncia el Auto de planteamiento, dada la naturaleza de la facultad de control al gobierno que es objeto de la regulación normativa, integrada como está, en la configuración legal, en aquel núcleo de la función representativa descrito en el fundamento jurídico anterior. En efecto, en relación con ello, la STC 81/2012, de 18 de abril, FJ 3, recuerda: i) que la moción de censura es un instrumento clave de las formas de gobierno parlamentario —que se basan en la existencia de una relación de confianza entre el Gobierno y las Cámaras—, porque es un mecanismo a través del cual el Legislativo controla la gestión del Ejecutivo y exige responsabilidad política al mismo, configurándose como un cauce para la manifestación de la extinción de la confianza de las Cámaras en el Ejecutivo; ii) que su virtualidad como mecanismo de control y exigencia de responsabilidad política de los gobernantes por quienes les invistieron de la confianza para serlo ha llevado al legislador a incorporar la moción de censura a otras instituciones que también reúnen las notas de representación democrática y confianza a la hora de elegir al poder ejecutivo, como es el caso de los gobiernos municipales, pese a las indudables diferencias que existen entre el pleno de un ayuntamiento o una asamblea vecinal (en el régimen de concejo abierto) y las asambleas legislativas y autonómicas; iii) que la moción de censura al alcalde se presenta como un instrumento de naturaleza híbrida, pues es, primordialmente, un medio de control y de exigencia de responsabilidad política por parte del pleno y, por tanto, un mecanismo de relación entre los órganos del gobierno municipal, pero, por otro lado, cuando prospera, implica a su vez una causa de cese del alcalde inicialmente designado —poniendo fin a la efectividad de la elección inicial—, con la subsiguiente proclamación de uno nuevo; iv) que, por las razones enunciadas, la moción de censura aparece como una pieza clave de la forma de gobierno local, esto es, del régimen institucional local; y finalmente v) que la moción de censura local configura el “ius in officium, el estatus representativo de los concejales”, ya que, como se atribuye a éstos la iniciativa y, por tanto, la puesta en marcha de un procedimiento extraordinario de elección de nuevo alcalde y de remoción del anterior, la facultad de presentar una moción de censura con los límites y garantías previstos en la legislación pasa a formar parte del núcleo de su función de representación política, siendo su regulación norma de desarrollo directo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tenor de esa caracterización de la moción de censura y su encuadramiento en el núcleo de la función representativa, el incremento dispuesto (párrafo tercero en relación con el segundo) sobre la mayoría absoluta requerida como regla general en el primer párrafo de la letra a) del artículo 197.1 LOREG, en el momento de verificación que corresponde a la Mesa de edad según el apartado e) de la misma disposición, altera para los concejales no adscritos el régimen ordinario de un derecho legalmente configurado como parte del núcleo de su función representativa, que restringe abiertamente, ya que priva de efecto alguno, como afirma el órgano judicial, a los apoyos que puedan ofrecer en la fase de iniciativa o propuesta de la moción, aunque no lo haga en la de votación. Por expresar la idea en otros términos, la promoción de la moción ha de contar en el momento procedimental a examen, previo a la votación plenaria, con el apoyo de la mayoría absoluta de los miembros de la corporación como si de ésta no formara parte un número igual al de los concejales no adscritos que la suscriben. Es esta una exigencia que puede hacer inviable en una pluralidad de escenarios, como es notorio, la tramitación de aquella iniciativa de control del gobierno municipal (como podría ser el caso del supuesto de autos, en el Ayuntamiento de Tacoronte, si declarásemos la constitucionalidad de la norma a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Encuadrada la facultad de promoción de la censura al alcalde en el núcleo de la función representativa en el ámbito local y constatada la alteración del régimen jurídico ordinario de ejercicio del derecho controvertido, al experimentar los concejales no adscritos, ex artículo 197.1 a) párrafo tercero LOREG, una restricción objetiva del margen de iniciativa o impulso de la remoción del alcalde, corresponderá ahora analizar si esa determinación legal, además de incidir en el estatus representativo, lo menoscaba, lesionando el artículo 23.2 CE, o si, por el contrario, cuenta con algún fundamento constitucionalmente admisible que la respalde por ser posible su armonización con el perfeccionamiento de la función representativa y la participación política en condiciones de igualdad (STC 298/2006, de 23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 examen ofrece una concreción más del marco legal específico del estatus representativo de los concejales no adscritos de los municipios, contemplados por el artículo 73.3 LBRL. Esta figura responde y se remonta al acuerdo sobre un código de conducta política en relación con el transfuguismo en las corporaciones locales que se firmó con fecha 7 de julio de 1998 y fue renovado por nuevos acuerdos de 26 de septiembre de 2000 y 23 de mayo de 2006. Como consecuencia del primero de ellos, la Ley 57/2003, de 16 de diciembre, de medidas para la modernización del gobierno local, modificó el artículo 73.3 de la Ley reguladora de las bases de régimen local (LBRL) e introdujo la figura de los miembros de las corporaciones locales no adscritos a ningún grupo político; esto es, los concejales o diputados provinciales que no se integren en el grupo político que constituya la formación electoral por la que fueron elegidos o que abandonen su grupo de procedencia. Se superaba de ese modo el anterior diseño normativo en el que los miembros de las entidades locales en dicha situación pasaban a integrarse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Ley Orgánica 2/2011, de 28 de enero, por la que se modifica la Ley Orgánica 5/1985, de 19 de junio, del régimen electoral general, en su exposición de motivos conecta previsiones como la cuestionada en este procedimiento constitucional, en ella contenidas, con la anomalía que ha incidido negativamente en el sistema democrático y representativo y que se ha conocido como “transfuguismo”. A tal fin declara que “probablemente con esta reforma no se podrá evitar que sigan existiendo ‘tránsfugas’, pero sí que con su actuación modifiquen la voluntad popular y cambien gobiernos municipales. Todos los partidos han sufrido la práctica de personas electas en sus candidaturas que abandonan su grupo y modifican las mayorías de gobierno. De ahí que fuera una necesidad imperiosa encontrar una fórmula para que, desde el respeto a la doctrina del Tribunal Constitucional, esto no volviera a producirse. Se trata, en definitiva, de una medida de regeneración democrática que contribuirá a eliminar las tensiones políticas y sociales y que favorecerá de cara al futuro la estabilidad en la vida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el preámbulo de la Ley Orgánica afirma es que interviene sobre la anomalía que el transfuguismo representa, y que lo hace, específicamente y en síntesis, al objeto de asegurar la voluntad popular y la estabilidad de la vida municipal. Ese sería el fin de la norma o, si se prefiere, de normas como la aquí cuestionada contenidas en la Ley Orgánica de referencia como expresión de la opción legislativa frente al fenómeno del transfuguismo.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lógica de regeneración democrática se concreta en este caso en una modalización para determinados concejales de un derecho que forma parte del ius in officium y que se actualiza, en su ejercicio, con amparo en la libertad de mandato, resultando el presupuesto de la restricción del derecho al que atiende el legislador, con el que responde pretendidamente al fin normativo declarado en el preámbulo, aquel que consiste en una disolución del nexo con el grupo político municipal de origen; esto es, la separación —el carácter voluntario o acordado por la organización es ahora irrelevante— del grupo político municipal al que se adscribió el concejal al inicio de su mandato, lo que a menudo será expresión de la desvinculación de la formación política por la que los cargos electos concurrieron a las elecciones (en tanto que los partidos políticos canalizan su acción por medio de los grupos municipales [artículo 73.3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ese es el factor que activa la efectividad de la norma o, en otros términos, el presupuesto de la misma, el propósito u objeto que procura y al que responde, de su lado, consiste en que no sea modificada “la voluntad popular”, no se modifiquen “las mayorías de gobierno” ni “cambien gobiernos municipales” y se favorezca con ello “la regeneración democrática” o la “estabilidad en la vida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analizar la constitucionalidad de un precepto legal construido sobre esas bases deberá considerarse: (i) que el legislador no puede imponer en el derecho de acceso a las funciones y cargos públicos representativos (art. 23.2 CE) restricciones que, más allá de los imperativos del principio de igualdad y desde la perspectiva constitucional, no se ordenen a un fin legítimo (por todas, STC 71/1994, de 3 de marzo, FJ 6); (ii) que el artículo 23.2 CE determina, una vez dispuesta la facultad representativa de que se trate (aquí la moción de censura en el ámbito local), que su regulación no podrá conllevar restricciones ilegítimas contrarias a la garantía de igualdad, puesto que, como recordara la STC 10/1983, de 21 de febrero, la libertad del legislador para desarrollar el artículo 23.2 CE cuenta, entre otras limitaciones que aquí no están a debate, con las generales que derivan de ese principio; (iii) adicionalmente, en los términos de la STC 24/1990, de 15 de febrero, FJ 2, que en los cargos que se alcanzan a través de elección popular y tienen, por tanto, naturaleza representativa, 'los requisitos que señalen las Leyes' a que se refiere el artículo 23.2 C.E. sólo serán admisibles en la medida en que sean congruentes con su naturaleza y que “su carácter de derecho de configuración legal no nos puede hacer olvidar que los derechos del art. 23.2 son derechos fundamentales”, debiendo, por tanto, este Tribunal revisar si ha quedado afectada su integridad. De no ser así, concluíamos entonces, los derechos fundamentales de configuración legal quedarían degradados al plano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objeto de ese examen adquieren protagonismo criterios de nuestra jurisprudencia que encuadran el juicio de igualdad que procede realizar en el presente caso alrededor del ejercicio de las funciones representativas,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las restricciones o limitaciones impuestas a los concejales no adscritos responden “en principio … a un fin legítimo” (STC 9/2012, de 18 de enero, FJ 4), ya que posee relevancia jurídica la adscripción política de los representantes (entre otras, en la STC 32/1985, de 6 de marzo, FJ 2). Es claro, en efecto,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CE), dotan de relevancia jurídica (y no sólo política) a la adscripción política de los representantes. En consecuencia, como resultado de lo dicho, el fin de intervenir frente al transfuguismo con una regulación jurídica es en principio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como señalamos en fundamentos anteriores y en el mismo fundamento jurídico 4 de la STC 9/2012 se plasmaría con claridad, tales limitaciones o restricciones no pueden operar sin embargo, en contra de la garantía de igualdad, sobre los derechos integrantes del ius in officium. Un núcleo de la función representativa que queda en el presente caso comprometido al formar parte de él la moción de censura legalmente configurada en el ámbito local (STC 81/2012).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garantía de igualdad que se contiene en el artículo 23 CE ha de armonizarse además, de manera insoslayable, con la libertad de mandato, opción política de nuestra Constitución en el marco del derecho de participación política que permite construir la representación política a través de una vinculación inmediata entre los representantes y los representados (destacadamente, STC 10/1983, de 21 de febrero, FJ 2), ya que las funciones del núcleo de derechos y facultades de los cargos electos se atribuyen a su titular y en condiciones de igualdad, y no al partido político o grupo en el que se integre.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último sentido, la STC 123/2017, de 2 de noviembre, recordaba recientemente en su fundamento jurídico 3 “que el mandato libre de los representantes locales, a efectos de mantenerse en el cargo caso de expulsión o abandono de los partidos en cuyas listas fueron elegidos, ha sido reconocido y preservado por la jurisprudencia constitucional con fundamento en el artículo 23 CE y pese a que para dicho ámbito local no exista norma análoga al artículo 67.2 CE (SSTC, entre otras, 10/1983, en su conjunto; 185/1993, de 31 de mayo, FJ 5; 298/2006, de 23 de octubre, FFJJ 6 y 7; 246/2012, de 20 de diciembre, FJ 5, y 125/2013, de 23 de mayo, FJ 6)”. Por consiguiente, lo que en ese reciente pronunciamiento se predica de la libertad del mandato de los miembros de las Cortes Generales alcanza a los representantes locales y opera, mutatis mutandis, como señala el fundamento jurídico 3 B) letra b) de la Sentencia de 2017 que citamos, (i) “frente a lo que pudieran llegar a disponer normas del Ordenamiento”, (ii) sin que pueda confundirse tal libertad “con la fidelidad política, asumida por los parlamentarios, al programa con el que recabaron el voto popular (STC 119/1990, de 21 de junio, FJ 4) ni con su vinculación o sometimiento, también voluntariamente aceptado, a las reglas disciplinarias que a sí mismos se den el partido político o el grupo de una u otra Cámara en los que hayan decidido integrarse, pues se trata estrictamente de una libertad frente al Estado (en su más amplio sentido), en cuya virtud el Ordenamiento no puede prestar su sanción o fuerza de obligar a acto alguno que pretenda predeterminar el ejercicio por el diputado o senador [digamos ahora ‘representante local’] de sus funciones como tal y que provenga ya de sus electores (cuerpo electoral o, en su caso, poderes públicos), ya del partido o grupo del que forma parte”; (iii) y en fin, siguiendo aun lo que allí se declaró, sin que la posición o estatus de los representantes electos (el núcleo esencial de sus funciones, en suma) se pueda hacer depender “del juicio, positivo o adverso, que su actuación pudiera merecer a aquellos electores, partidos o grupos. Dependencia cuya manifestación más extrema se daría en el caso de que se reconociera a unos u otros potestad para determinar, directa o indirectamente, si el representante habría de mantenerse o no, vigente su mandato, en el ejercicio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libre supone, en definitiva, la exclusión de todo sometimiento jurídico del representante, en cuanto tal, a voluntades políticas ajenas y proscribe por ello, en particular, que sobre él se hicieran pesar tanto instrucciones vinculantes en Derecho que pretendieran disciplinar su proceder, como asimismo cualquier tipo de sujeción, jurídicamente impuesta, a la confianza de sus electores (expresada del modo que se pretendiera) o de las organizaciones o grupos políticos en que se integre o en cuyas listas hubiera concurrido a las elecciones. Una sujeción que, de llegar a verificarse, contrariaría adicionalmente sus derechos al mantenimiento en el cargo y a ejercerlo sin constricciones ilegítimas (art. 23.2 CE). Los vínculos y lealtades de orden político de cualesquiera representantes populares son, en definitiva, consustanciales a una democracia representativa en la que los partidos, muy en especial, cumplen los cometidos capitales que enuncia el artículo 6 CE, pero es la propia racionalidad de esta forma de gobierno la que impide, precisamente en favor de una representación libre y abierta, que el Ordenamiento haga suyos tales compromisos, prestándoles su sanción y convirtiéndolos, de este modo, en imperativos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esos presupuestos de cobertura del artículo 23.2 CE, ligados a los límites de la intervención normativa sobre el ius in officium y a la garantía del mandato libre, podremos ya abordar el juicio de la norma cuestionada desde un prisma de igualdad y proporcionalidad de la diferencia de trato que contiene, considerando: a) si la medida es idónea o adecuada para alcanzar el fin constitucionalmente legítimo perseguido por ella, antes enunciado (juicio de idoneidad); b) si la medida idónea o adecuada es, además, necesaria, en el sentido de que no exista otra medida menos lesiva para la consecución de tal fin con igual eficacia (juicio de necesidad); y, c) si la medida idónea y menos lesiva resulta ponderada o equilibrada, por derivarse de su aplicación más beneficios o ventajas para el interés general que perjuicios sobre otros bienes o intereses en conflicto (juicio de proporcionalidad en sentido estricto); por todas, STC 89/2017, de 4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pronto, cabe afirmar que la modalización del derecho de promoción de la moción de censura en el ámbito local, tal y como aparece definida en la norma cuestionada, permite la consecución del fin perseguido, toda vez que el incremento del quórum de iniciativa tiene como efecto derivado el de dificultar la exigencia de responsabilidad política y remoción del alcalde por quienes les invistieron de la confianza para serlo, entorpeciéndose de ese modo la verificación de cambios que incidan en la estabilidad en la vida municipal y den lugar a la modificación de gobiernos municipales con la participación en el impulso de la moción de censura de concejales que hayan dejado de pertenecer, por cualquier causa, al grupo político municipal al que se adscribieron al inicio de su mandato. Se trata por tanto, en abstracto, de una medida idónea y adecuada para el logro del objetivo que se pretende con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Prosiguiendo con el segundo de los pasos inherentes a la regla de proporcionalidad, el juicio de necesidad, la medida legal puede también estimarse necesaria al propósito que nace, puesto que se limita a establecer un reforzamiento del quórum de promoción de la moción de censura sin alterar más allá de ello la dinámica del procedimiento de exigencia de responsabilidad y remoción del alcalde, como acredita señaladamente que no se altere el régimen de mayorías de la fase de votación, momento en el que los concejales proponentes que hayan dejado de pertenecer, por cualquier causa, al grupo político municipal al que se adscribieron al inicio de su mandato no ven limitado su derecho, conservando la facultad de participar en la votación como cualquier otro concejal. En suma, se persigue dificultar su acción de promoción de la moción para evitar incidencias en la estabilidad en la vida municipal, sin añadir a ello, sin embargo, un escenario de restricción o distorsión abierta de su derecho en la fase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superados los juicios de idoneidad y de necesidad, corresponde ocuparse del denominado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norma impugnada equipara, en la restricción del derecho, a todos los concejales que hayan dejado de pertenecer al grupo político municipal al que se adscribieron al inicio de su mandato (“por cualquier causa”, dice la previsión legal). Por consiguiente, no establece diferencia alguna en función de las circunstancias que puedan haber desencadenado el cese de dicha vinculación con el grupo político municipal, ni precisa el fundamento que permitiría asociar la disolución de la relación orgánica con el grupo político de origen y los fines singulares, relativos a la estabilidad municipal, que la norma debe intentar asegurar, según las declaraciones del preámbulo de la Ley Orgánica. No distingue tampoco, en particular, en función de que la separación del grupo ataña o no a la vida de esa concreta corporación municipal. Tampoco valora el significado que eventualmente podría revelar la proporción de concejales que hayan expresado el desafecto o desacuerdo con el grupo político. Y no precisa, en fin, las razones que pudieran expresar un fraude de representación, ya sean políticas o de otra índole, y que pudieran estar en la base de ese resultado. Estima, antes bien, que cualquier disolución de ese nexo orgánico (único factor relevante y presupuesto único de la norma) es contraria en sí misma considerada a la estabilidad de la vida municipal o del gobierno local, equiparando el respeto de la voluntad popular y del gobierno local a la protección del alcalde que fue designado, cuando lo cierto es que la representación política, en democracia, es siempre colegiada y el alcalde, por ello, representa al ayuntamiento, perfilándose las mayorías de acuerdo a los pactos que se establecen. En definitiva, parte el legislador de que cualquier hipótesis de disolución del vínculo político es merecedora de una intervención que asegure la regeneración democrática, premisa esta que, ante la descrita falta de determinación normativa que lo fundamente, no puede aceptarse.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restricción opera con base en un criterio estrictamente subjetivo, cual es el ya reseñado de la desvinculación de los concejales del grupo político municipal al que se adscribieron al inicio de su mandato, reuniendo de ese modo la previsión legal dos elementos diferentes y necesariamente dispares en un único parámetro que actualiza la limitación de derechos; a saber: de un lado, la disolución del nexo con el grupo político de origen, factor que solo podría constituir el presupuesto subjetivo de una norma que, a la vista de su concurrencia, procure evitar la repercusión de ciertas prácticas tránsfugas en la estabilidad municipal y, de otro, la necesaria razón objetiva que fundamente y desvele su sustento material en relación con el legítimo fin de la norma, que el legislador puede atender y regular si lo estima conveniente. La norma cuestionada carece por completo de ese fundamento objetivo, entendido como obligado soporte constitucional frente a una medida restrictiva del ius in officium y del mandato libre en el ejercicio del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como ya se enunció anteriormente, el legislador soslaya que la aplicación de la norma no solo puede dificultar sino incluso hacer del todo inviable en una pluralidad de escenarios la propia tramitación de aquella iniciativa de control del gobierno municipal, vetando la exigencia de responsabilidad y la remoción del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concluye que “la anomalía que ha incidido negativamente en el sistema democrático y representativo y que se ha conocido como ‘transfuguismo’” no puede intervenirse por el legislador con restricciones al ius in officium (STC 9/2012) que impacten en el ejercicio natural del cargo público al amparo de la libertad de mandato con base en razones asociadas, sin adjetivos, a la vinculación orgánica o política, sin fundamentos añadidos. Sencillamente porque no es cierto que la desvinculación orgánica o política del grupo de origen desestabilice por defecto o sin excepción la vida municipal o modifique la voluntad popular. Así lo demuestran casos como el que está en el origen de este procedimiento constitucional, en el que la razón de la expulsión de los concejales socialistas fue por completo ajena a la vida municipal de Tacoronte, al tener que ver con cuestiones orgánicas y pactos suscritos por su partido político en ámbitos territoriales que lo excedían. La norma, en suma, sujeta al concejal al grupo político de origen bajo advertencia de restricción de las funciones representativas básicas, sin que ese efecto responda inevitablemente a una defraudación de la voluntad popular o a un hacer que busque la desestabilización de la dinámica municipal, como el preámbulo de la Ley Orgánica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23.2 CE, por tanto, resulta violado, porque la legalidad a la que remite es, en este caso, contraria a la Constitución y, en especial, a la naturaleza de la representación política. En consecuencia, debe declararse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 pronunciar el fallo de inconstitucionalidad a que conduce nuestro razonamiento, es preciso determinar cuál es el alcance y efectos que corresponde atribuir a dicho fallo. En tal sentido, debemos establecer que han de considerarse situaciones consolidadas no susceptibles de ser revisadas con fundamento en esta Sentencia no sólo aquéllas que hayan sido definitivamente decididas por resoluciones judiciales con fuerza de cosa juzgada (art. 40.1 LOTC), sino también, por exigencia del principio de seguridad jurídica (art. 9.3 CE), todas las que no hubieran sido impugnadas en la fecha de publicación de esta Sentencia (en ese sentido, SSTC 103/2013, de 25 de abril, FJ 6, o 179/1994, de 16 de junio,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eliminar el resultado inconstitucional al que conduce el párrafo tercero de la letra a) del artículo 197.1 LOREG procede declarar la inconstitucionalidad del mismo únicamente en cuanto determina, a raíz de la reiterada remisión de la letra e), que en el momento inmediatamente anterior a la votación de la moción de censura en el plenario debe satisfacerse el quórum del párrafo segundo de la letra a), siempre que alguno de los concejales proponentes de la moción haya dejado de pertenecer, por cualquier causa, al grupo político municipal al que se adscribió al inicio de su mandato y, además, en función de la especialidad del citado párrafo segundo, siempre que no forme o haya formado parte del grupo político municipal al que pertenece el alcalde cuya censura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 tenor de lo previsto en el artículo 39.1 LOTC, extender esa declaración de inconstitucionalidad por conexión o consecuencia a los restantes supuestos y fases del procedimiento regulados en la letra a) del artículo 197.1 LOREG, como tampoco, globalmente, al inciso “constatando para poder seguir con su tramitación que en ese mismo momento se mantienen los requisitos exigidos en los tres párrafos del apartado a)”, contenido en la letra e) de ese artículo, al regularse en ellos situaciones adicionales que no han sido objeto de examen en este pronunciamiento y que no concurren en el supuesto de hecho examinado en el proceso del que trae origen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nulidad inmediata que, como regla y de acuerdo con el artículo 39.1 LOTC, sigue a un pronunciamiento de inconstitucionalidad, debe ser matizada en este caso concreto ya que la anulación de la disposición cuestionada podría generar alteraciones en procedimientos de exigencia de responsabilidad política en curso por la ausencia de un régimen jurídico alternativo y respetuoso con la Constitución que cohoneste el principio de igualdad en el ejercicio de las funciones representativas y la prevención de los efectos perversos causados por el transfuguismo en los legítimos fines declarados por la norma. Por ello, la nulidad derivada de la declaración de inconstitucionalidad debe quedar diferida hasta la convocatoria de un nuevo proceso de elecciones locales, de conformidad con lo previsto en el artículo 42.3 de la Ley Orgánica 5/1985, de 19 de junio, del régimen electoral general, periodo de tiempo en el que el legislador podrá proceder, en su caso, a sustituir la norma declarada nula observando el contenido de este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con el alcance establecido en el fundamento jurídico 8, la inconstitucionalidad y nulidad del párrafo tercero del artículo 197.1 a) de la Ley Orgánica 5/1985, de 19 de junio, de régimen electoral general, en la redacción dada por la Ley Orgánica 2/2011, de 28 de enero.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Vicepresidenta de este Tribunal doña Encarnación Roca Trías a la Sentencia dictada en la cuestión de inconstitucionalidad 5210-2014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respecto a la opinión de mis compañeros, formulo Voto particular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totalmente la fundamentación de la Sentencia y las razones que la llevan a apreciar la inconstitucionalidad, por vulneración del art. 23.2 CE, del párrafo tercero del artículo 197.1 a) de la Ley Orgánica 5/1985, de 19 de junio, de régimen electoral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únicamente de la decisión de no declarar la nulidad inmediata que, como regla y de acuerdo con el artículo 39.1 de la Ley Orgánica del Tribunal Constitucional (LOTC), sigue a un pronunciamiento de inconstitucionalidad como el que contiene la Sentencia. Decisión que se residencia en el último párrafo del fundamento jurídico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Soy consciente de que, aunque el artículo 39.1 LOTC asocie la inconstitucionalidad con la declaración de nulidad de la norma impugnada, es notorio que la práctica del Tribunal Constitucional ha modulado en algunas ocasiones los efectos de esa declaración de nulidad. Aunque la vinculación entre inconstitucionalidad y nulidad pueda no ser absoluta, ha de ser entendida como el principio a aplicar, de modo que soluciones diferentes a ésta deben ser excepcionales.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esos casos excepcionales, se trata de preservar bienes o valores que el Tribunal considera constitucionalmente relevantes y que justifican la desvinculación entre inconstitucionalidad y nulidad, siquiera durante un determinado período de tiempo. Esta decisión que permite, un tanto paradójicamente, la pervivencia en el ordenamiento, de forma siquiera temporal, de una norma que ya ha sido declarada contraria a la Constitución, ha de ser necesariamente utilizada con prudencia por la jurisdicción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nulidad diferida supone que la expulsión de la norma ya declarada inconstitucional queda aplazada hasta un determinado momento fijado en la Sentencia (caso de la STC 13/2015, de 5 de febrero, por ejemplo), bien hasta la aprobación de una nueva norma que sustituya a la declarada nula a fin de evitar un vacío no conforme con la Constitución (SSTC 195/1998, de 1 de octubre, o 236/2007, de 7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opinión es que este Tribunal ha venido haciendo un uso prudente de la nulidad diferida no solo en los casos de omisiones legislativas, sino también en aquellos supuestos en los que la razón de la inconstitucionalidad venía dada por la ausencia de trámites procedimentales obligados (STC 164/2013, de 26 de septiembre, FJ 7, y 164/2014, de 7 de octubre, FJ 3, en ambos casos por referencia a la participación del Parlamento de Canarias) o por la inadecuación del vehículo normativo utilizado para aprobar la norma que rebasaba el contenido propio de las leyes de presupuestos [STC 152/2014, de 25 de septiembre, FJ 6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que ahora se plantea creo que se ha prescindido de la anterior prudencia para hacer un uso de la nulidad diferida que estimo inadecuado. De acuerdo con la finalidad a la que antes he hecho referencia, esta técnica sirve para preservar determinados valores o bienes a fin de evitarles la afectación que supone la declaración de inconstitucionalidad y nulidad de la norma que les da cobertura. Por eso, su aplicación exige determinar con claridad el bien cuya preservación reviste tanta entidad como para romper con la consecuencia lógica de la inconstitucionalidad de una norma, su nulidad y consiguiente expulsión del ordenamiento.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no alcanzo a comprender, ni la Sentencia lo explica, cuáles son los derechos, intereses, bienes o valores que tienen una relevancia constitucional tal que llevan a modular los efectos de nulidad propios de una sentencia de inconstitucionalidad. No cualquier valor o interés justifica el aplazamiento de la eficacia de la nulidad del precepto legal declarado inconstitucional. Por lo tanto, no ha quedado aquí acreditado que haya tal incidencia que justifique el mantenimiento de la vigencia de una norma inconstitucional durante casi año y medio, “hasta la convocatoria de un nuevo proceso de elecciones locales, de conformidad con lo previsto en el art. 42.3 de la Ley Orgánica 5/1985, de 19 de junio, del Régimen Electoral General”, tal como se afirma en la conclusión del fundamento jurídico 8. Y tampoco se valora que la pervivencia de la regulación implica el sacrificio temporal del derecho fundamental reconocido en el artículo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que la Sentencia encuentra para aplazar la nulidad hasta la convocatoria de las próximas elecciones locales es que “la anulación de la disposición cuestionada podría generar alteraciones en procedimientos de exigencia de responsabilidad política en curso por la ausencia de un régimen jurídico alternativo y respetuoso con la Constitución que cohoneste el principio de igualdad en el ejercicio de las funciones representativas y la prevención de los efectos perversos causados por el transfuguismo en los legítimos fines declarados por la norma”. Eso es tanto como decir que al Tribunal Constitucional no parece bastarle con el efecto que produce la expulsión del ordenamiento del precepto cuestionado. Efecto que se contrae a que no se va a aplicar a determinados concejales el quórum reforzado para la presentación de una moción de censura que se acaba de declarar inconstitucional. En otros términos, que se va a aplicar el sistema inmediatamente anterior a la modificación legal que había sido cuestionada en el proceso, sin la limitación en la facultad de promover mociones de censura por parte de algunos concejales introducida por la norma que la Sentencia considera inconstitucional por contrario al artículo 23.2 CE. No hay, pues, vacío normativo del que se derive un riesgo para la integridad de bienes o valores de relevancia constitucional, sino todo lo contrario, la aplicación de un sistema ajustado a las exigencias del citado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eso así, no comparto la referencia de la Sentencia a la “ausencia de un régimen jurídico alternativo y respetuoso con la Constitución”. No existe tal ausencia, salvo que se entienda que el Tribunal Constitucional utiliza el mecanismo de la nulidad diferida para enviar un mensaje al legislador, de manera que busque la forma de cohonestar “el principio de igualdad en el ejercicio de las funciones representativas y la prevención de los efectos perversos causados por el transfuguismo en los legítimos fines declarados por la norma”. Mensaje que, en mi opinión, excede, con mucho, del contenido propio de una sentencia constitucional y no puede servir para fundamentar la modulación de los efectos de una declaración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Añádase a lo anterior que a esa nulidad diferida se le atribuye un propósito. Se concede para que el legislador pueda “proceder, en su caso, a sustituir la norma declarada nula observando el contenido de este pronunciamiento”. Si ya de por si es grave que el Tribunal Constitucional sugiera al legislador su modo de actuar, eso se agrava en este caso. Lo que ocurre es que el contenido del pronunciamiento, si bien es claro al explicitar las razones de la inconstitucionalidad apreciada, no lo es tanto a la hora de facilitar al legislador el observarlo, como califica la Sentencia la tarea que acaba de asignarle.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finalmente, creo que no se ha tenido en cuenta que esta Sentencia de nulidad diferida se ha dictado al resolver una cuestión de inconstitucionalidad, con lo que el órgano judicial va a verse obligado, en principio, a aplicar la norma declarada inconstitucional y que todavía no es nula.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lo expuesto entiendo que en este caso no procedía modular los efectos temporales del fallo, pues no existía razón alguna que justificase esa modulación.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fecha 21 de diciembre de 2017 dictada en la cuestión de inconstitucionalidad núm. 5210-2014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confiere el art. 90.2 de la Ley Orgánica del Tribunal Constitucional (LOTC) y con el máximo respeto a la opinión de la mayoría, dejo constancia de mi opinión discrepante puesta ya de manifiesto durante la deliberación de la Sentencia que ha resuelto la cuestión de inconstitucionalidad núm. 5210-2014.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motivo principal de mi discrepancia se centra en un decisivo aspecto del fallo de la Sentencia. Sin perjuicio de compartir su declaración sobre la inconstitucionalidad y nulidad del párrafo tercero del artículo 197.1 a) de la Ley Orgánica 5/1985, de 19 de junio, de régimen electoral general, en la redacción dada por la Ley Orgánica 2/2011, de 28 de enero, no ocurre lo mismo con el alcance previsto en relación con sus efectos, fijados por remisión al fundamento jurídico octavo.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él se afirma: “La nulidad inmediata que, como regla y de acuerdo con el art. 39.1 LOTC, sigue a un pronunciamiento de inconstitucionalidad, debe ser matizada en este caso concreto, ya que la anulación de la disposición cuestionada podría generar alteraciones en procedimientos de exigencia de responsabilidad política en curso por la ausencia de un régimen jurídico alternativo y respetuoso con la Constitución que cohoneste el principio de igualdad en el ejercicio de las funciones representativas y la prevención de los efectos perversos causados por el transfuguismo en los legítimos fines declarados por la norma. Por ello, la nulidad derivada de la declaración de inconstitucionalidad debe quedar diferida hasta la convocatoria de un nuevo proceso de elecciones locales, de conformidad con lo previsto en el art. 42.3 de la Ley Orgánica 5/1985, de 19 de junio, del Régimen Electoral General, periodo de tiempo en el que el legislador podrá proceder, en su caso, a sustituir la norma declarada nula observando el contenido de este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la opción, para mí sorprendente, por una nulidad diferida de la norma cuestionada. Ello equivale a establecer que una norma declarada inconstitucional debe no obstante seguir en vigor dejando en manos del legislador el momento en que, si lo estima oportuno, deberá sustituirla, considerarla efectivamente nula y, en consecuencia, expulsarla del ordenamiento jurídico. No ignoro que en ocasiones anteriores este Tribunal ha optado por diferir los efectos de sus pronunciamientos; pero se trataba de casos en los que se constataba que el legislador había omitido algún aspecto, lo que generaba la inconstitucionalidad de la norma (así, SSTC 138/2005, de 26 de mayo, y 273/2005, de 27 de octubre), o había incumplido un trámite procedimental inexcusable (SSTC 164/2013, de 26 de septiembre, 164/2014, de 7 de octubre, y 13/2015, de 5 de febrero, FJ 5, por todas), o por inadecuación del instrumento normativo utilizado (SSTC 132/2010, de 2 de diciembre, y 164/2014, de 7 de octubre), o la inconstitucionalidad derivaba, no del contenido de la ley sino del incumplimiento de exigencias formales (SSTC 152/2014, de 25 de septiembre, FJ 6 b), 164/2014, de 7 de octubre, FJ 3) o de la imprevisión de aspectos materiales (STC 96/1996, de 30 de mayo, FJ 22 y 23). Por esas razones se instaba al legislador a subsanar el defecto en un plazo prudencial, renunciando el Tribunal a asumir funciones de legislador positivo que no le son propias. No es esta la situación ante el problema que nos ocupa, lo que lleva a proclamar la validez de una norma declarada inconstitucional hasta que el legislador lo considere oportuno, con una fecha tope que haría efectiva tal nulidad, de persistir en su actitud omisiva.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texto de la sentencia aborda la problemática compatibilidad entre el juego del principio representativo, propio de la vinculación entre el cargo electo y los ciudadanos electores, y las posibles limitaciones derivadas del intento de poner freno a las consecuencias del transfuguismo y sus posibles riegos de traición a la voluntad popular y perjuicio para la estabilidad de los gobiernos municipales. Paradójicamente la Sentencia parece inclinarse inicialmente por una actitud comprensiva hacia la norma cuestionada, reconociendo su papel de objetivo legítimo para poner freno al transfuguismo. Al servicio de tal fin se impone, en las posibles mociones de censura a un alcalde y la simultánea sustitución por un sucesor, un peculiar quorum de mayoría, que la incrementa en el mismo número de concejales que los que se hayan convertidos en no adscritos, por abandono, expulsión o “cualquier causa” que los desvincule del grupo municipal del alcalde en el que inicialmente se incluyeron.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órgano judicial promotor de la cuestión de inconstitucionalidad detecta, con acierto, unas restricciones a los derechos reconocidos por el artículo 23.2 CE, que “convierte en meramente nominal la posibilidad de que dichos concejales no adscritos impulsen una moción de censura”. El Fiscal General del Estado considera que el perseguido es “un fin legítimo” y que el “quorum reforzado” no anula el ejercicio de la función representativa de los concejales no adscritos”; mientras el Abogado del Estado recuerda que el derecho citado es de configuración legal, subrayando “la prevalencia del principio representativo” y que a la vez permite “no defraudar la voluntad popular”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primeras Sentencias de este Tribunal sobre este problema (SSTC 5/1983, de 4 de febrero; 10/1983, de 21 de febrero; 16/1983, de 10 de marzo; 20/1983, de 15 de marzo; 28/1983, de 21 de abril y 30/1983, de 26 de abril) fueron motivadas por los intentos de algún partido político de despojar de su cargo a un concejal al que había expulsado por discrepancias internas. Se acentuó entonces la defensa del principio de representación, que entendía que era con los electores y no con el partido con los que había surgido un vínculo para el concejal digno de respeto. Se reconoció particular relevancia al hecho de tratarse de unas elecciones en lista cerrada, en las que, con frecuencia, se votaba más al partido que al no siempre muy conocido candidato. Con el tiempo, los casos de transfuguismo aumentaron, no pocas veces relacionados con sospechas de corrupción, desembocando en la reforma legal ahora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Ya en el fundamento jurídico 4 de la Sentencia se reconoce que “la moción de censura aparece como una pieza clave de la forma de gobierno local”; que “configura el ius in officium, el estatus representativo de los concejales”, formando parte “del núcleo de su función de representación política, siendo su regulación norma de desarrollo directo del art. 23.2 CE”. El drástico incremento de la mayoría necesaria para que prospere una moción de censura “puede hacer inviable en una pluralidad de escenarios, como es notorio, la tramitación de aquella iniciativa de control del gobierno municipal”, insinuándose incluso que tal “podría ser el caso del supuesto de autos” cuestionado.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6 se insistirá en que “la garantía de igualdad que se contiene en el art. 23 CE ha de armonizarse además, de manera insoslayable, con la libertad de mandato”, que excluye el imperativo, y se resalta que “las funciones del núcleo de derechos y facultades de los cargos electos se atribuyen a su titular y en condiciones de igualdad, y no al partido político o grupo en el que se integre”.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echa de menos una obligada alusión al carácter excesivamente personalizado de la modificación del quorum mayoritario previsto. Al vincularse al número de concejales no adscritos que suscribieran la moción de censura, tras haber estado vinculados al grupo municipal del alcalde, se da paso a fórmula que se activa intuitu personae, casi cobrando aires de sanción. Esto la convertiría en una medida no necesaria, en el sentido de que “no exista otra medida menos lesiva para la consecución de tal fin con igual eficacia” (FJ 7). Bastaría para encontrarla optar por una mayoría basada en criterios objetivos, como las de dos tercios o tres quintos a las que con frecuencia se acude en otros casos; sobre todo como quorum reforzado con motivo del intento de reelección de un candidato.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no comparto, desde luego, que la medida propuesta por la norma cuestionada pueda “estimarse necesaria”, argumentando que “los concejales proponentes que hayan dejado de pertenecer, por cualquier causa, al grupo político municipal al que se adscribieron al inicio de su mandato no ven limitado su derecho, conservando la facultad de participar en la votación como cualquier otro concejal. En suma, se persigue dificultar su acción de promoción de la moción para evitar incidencias en la estabilidad en la vida municipal, sin añadir a ello, sin embargo, un escenario de restricción o distorsión abierta de su derecho en la fase de decisión”. Considero más bien que en realidad el derecho a que se tenga en cuenta el sentido de su voto resulta aniquilado; parece invitársele a que consiga que otro concejal lo suscriba si quiere que tenga algún efecto, ya que es su presunta intención de voto lo que ha generado una duplicidad a la hora de evaluar el quórum requerido.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final se argumentará, dando por existente la idoneidad y necesidad de la medida, que “el legislador soslaya que la aplicación de la norma no solo puede dificultar sino incluso hacer del todo inviable en una pluralidad de escenarios la propia tramitación de aquella iniciativa de control del gobierno municipal, vetando la exigencia de responsabilidad y la remoción del Alcalde”. Se concluye pues que “la anomalía que ha incidido negativamente en el sistema democrático y representativo y que se ha conocido como ‘transfuguismo’” no puede intervenirse por el legislador con restricciones al ius in officium (STC 9/2012) que impacten en el ejercicio natural del cargo público al amparo de la libertad de mandato con base en razones asociadas, sin adjetivos, a la vinculación orgánica o política, sin fundamentos añadidos”. “El artículo 23.2 CE, por tanto, resulta violado, porque la legalidad a la que remite es, en este caso, contraria a la Constitución y, en especial, a la naturaleza de la representación política. En consecuencia, debe declararse su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Tras lo expuesto, sigo considerando que la obvia inconstitucionalidad de la medida ha de acarrear su nulidad e inmediata expulsión del ordenamiento jurídico. La situación volvería así a ser la existente antes de la cuestionada reforma legal, con los ya señalados riesgos de transfuguismo a los que el legislador, en el plazo que considere oportuno, habrá de hacer frente recurriendo a criterios no personalizados sino de carácter objetivo, como los arriba sugeridos.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veo obligado a emitir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la cuestión de inconstitucionalidad núm. 5210-2014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me adhiero al Voto particular formulado por el Magistrado don Cándido Conde-Pumpido Tourón a la Sentencia de referencia al que se ha adherido el Magistrado don Alfredo Montoya Melgar.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Cándido Conde-Pumpido Tourón a la Sentencia dictada en la cuestión de inconstitucionalidad núm. 5210-2014, al que se adhiere el Magistrado don Alfredo Montoya Melgar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debió desestimarse la cuestión de inconstitucionalidad promovida respecto al artículo 197.1 a), párrafo tercero en relación con el párrafo segundo, de la Ley Orgánica 5/1985, de 19 de junio, de régimen electoral general. Presentaré brevemente el contenido del precepto y las razones por las que la Sentencia estima la cuestión de inconstitucionalidad, y posteriormente expondré las razones de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inciso legal cuestionado y, finalmente, declarado inconstitucional y nulo, aunque su vigencia se mantenga de forma transitoria, eleva el quórum para promover mociones de censura en el ámbito local cuando alguno de los concejales proponentes hubiera dejado de pertenecer, por cualquier causa, al grupo político municipal al que se adscribió al inicio de su mandato: el quórum se eleva por encima de la mayoría absoluta que requiere ordinariamente la propuesta de moción de censura, en el mismo número de concejales que se encuentren en esa circunstancia.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Contra el criterio tanto del Abogado del Estado como del Fiscal General del Estado, la Sentencia de la que discrepo estima la cuestión de inconstitucionalidad. La estimación se fundamenta en la apreciación de que la norma cuestionada constituye una interferencia desproporcionada en el núcleo esencial del estatus del representante político. La Sentencia considera que la norma cuestionada supera los dos primeros componentes del principio de proporcionalidad en sentido amplio (los juicios de idoneidad y de necesidad), pero no así el tercero, el denominado juicio de proporcionalidad en sentido estricto.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en los que se basa esa conclusión son diversos. El primero es que el precepto legal “no establece diferencia alguna en función de las circunstancias que puedan haber desencadenado el cese de dicha vinculación con el grupo político municipal”. Entre las circunstancias que —se afirma— tendría que haber ponderado el legislador se mencionan: si “la separación del grupo atañ[e] o no a la vida de esa concreta Corporación municipal”, “el significado que eventualmente podría revelar la proporción de concejales que hayan expresado el desafecto o desacuerdo con el grupo político”, y “las razones que pudieran expresar un fraude de representación, ya sean políticas o de otra índole, y que pudieran estar en la base de ese resultado”. En segundo lugar, se rechaza la premisa de la que partiría el legislador “de que cualquier hipótesis de disolución del vínculo político es merecedora de una intervención que asegure la regeneración democrática”, argumento que se reitera con unas u otras palabras. Al no cumplirse dicha premisa, se sostiene que la norma cuestionada “carece por completo de ese fundamento objetivo, entendido como obligado soporte constitucional frente a una medida restrictiva del ius in officium y del mandato libre en el ejercicio del cargo representativo”. El último argumento consiste en que “la aplicación de la norma no solo puede dificultar sino incluso hacer del todo inviable en una pluralidad de escenarios la propia tramitación de aquella iniciativa de control del gobierno municipal, vetando la exigencia de responsabilidad y la remoción del Alcalde”.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Antes de rechazar los referidos argumentos desde una perspectiva jurídico-constitucional, quiero afirmar la importancia que para la vida local tiene que se respeten los resultados de los comicios locales en los que, básicamente, los ciudadanos eligen cada cuatro años su gobierno municipal y su alcalde: a tal fin emiten su voto eligiendo entre los candidatos a alcalde que presentan los partidos políticos y las agrupaciones electorales y, en consecuencia, entre todos eligen directamente al alcalde si uno de los candidatos alcanza la mayoría necesaria o, al menos, contribuyen a construir una mayoría política de la que resulta la elección del alcalde. Cuando esos resultados se alteran por la circunstancia de que concejales elegidos por un grupo político y adscritos a él desde el inicio de su mandato lo abandonan por cualquier causa pero conservando el acta de concejal que obtuvieron por concurrir en las listas de un determinado grupo político y, además, —esto es lo decisivo— contribuyen a elegir un alcalde distinto del elegido por los ciudadanos o del que tenía la mayoría política resultante de las elecciones, no hay duda de que la legitimidad del gobierno local y, con ello, del propio sistema democrático se puede resentir a los ojos de los ciudadanos. Y si, como ocurre a menudo, esa circunstancia se acompaña en la práctica de acusaciones o sospechas de corrupción o de intercambio de favores, el peligro para la credibilidad de las instituciones puede ser muy alto.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anteriores consideraciones no son meras aprensiones subjetivas de quien suscribe este Voto particular. Son plenamente compartidas, me atrevo a afirmar, por muchos ciudadanos. No en vano los principales partidos políticos han ido estableciendo, no de una sola vez, sino en fases sucesivas y de forma creciente, ante la inanidad de otras adoptadas previamente, diversas medidas para combatir el denominado “transfuguismo”: unas dirigidas a privar de las eventuales “ganancias” económicas y de otro tipo derivadas de la constitución en grupo político propio a quienes abandonen el suyo, y otras dirigidas a dificultar la promoción de mociones de censura. La norma cuestionada se encuadra en este segundo tipo de normas y constituye, tras diversos precedentes, una nueva elevación del quórum para proponer mociones de censura. La exposición de motivos de la Ley Orgánica que llevó a cabo esa modificación es, a mi juicio, sumamente expresiva de lo que se persigue. A diferencia de anteriores elevaciones del quórum, esta última modificación normativa no se limita a elevarlo de forma lineal, sino solo en el concreto número de concejales que hubieran dejado de pertenecer, por cualquier causa, al grupo político municipal al que se adscribieron al inicio de su mandato.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Una vez sentado el carácter legítimo de la previsión de medidas para combatir el transfuguismo en el ámbito local, paso a exponer las razones por las que no comparto la conclusión de inconstitucionalidad, por desproporción, que alcanza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doctrina constitucional el juicio de proporcionalidad en sentido estricto se identifica como la ponderación de beneficios y perjuicios (entre muchas, SSTC 136/1999, de 20 de julio, FFJJ 22 y 23; 11/2016, de 1 de febrero, FJ 3, y 140/2016, de 21 de julio, FJ 10, y las que allí se citan). Sin embargo, la Sentencia no realiza ponderación alguna de beneficios y perjuicios para el interés general y para otros bienes o intereses en conflicto, cuando dice que va a ocuparse del juicio de proporcionalidad en sentido estricto. En su lugar aduce diversos argumentos ninguno de los cuales tiene que ver en realidad con ese juicio.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argumento remite, en realidad, a una denuncia de inconstitucionalidad por indiferenciación, que es algo muy distinto del problema de la desproporción, pues se arguye que el precepto legal “no establece diferencia alguna en función de las circunstancias que puedan haber desencadenado el cese de dicha vinculación con el grupo político municipal”. En cualquier caso, la denuncia no podría ser atendida, pues es doctrina de este Tribunal que el artículo 14 CE se limita a prohibir la distinción infundada o discriminatoria, pero no consagra un derecho a la desigualdad de trato, ni ampara la falta de distinción entre supuestos desiguales, no existiendo un derecho subjetivo al trato normativo desigual (por todas, SSTC 198/2012, de 6 de noviembre, FJ 13; 38/2014, de 11 de marzo, FJ 6, y STC 183/2014, de 6 de noviembre,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el segundo argumento aportado tiene que ver con un juicio de proporcionalidad en sentido estricto ni, aisladamente considerado, puede ser compartido. En efecto, no se aprecia de dónde se extrae la conclusión de que el legislador haya relacionado la “disolución del vínculo político” con “una intervención que asegure la regeneración democrática”, pues es evidente que la norma no reacciona frente a la mera disolución del vínculo político del concejal con su grupo político inicial, sino frente a la eventual intención de ese concejal de apoyar una moción de censura contra el alcalde a cuyo grupo político pertenecía antes. Es únicamente la promoción y votación de la moción de censura lo que centra la atención del legislador, no la disolución del vínculo político como tal. Tampoco son de compartirse las consideraciones que se realizan al hilo de este argumento sobre la completa carencia de fundamento objetivo de la norma cuestionada, pues la denuncia de carencia absoluta de explicación racional remite, en realidad, al ámbito del principio de interdicción de la arbitrariedad, que no es tampoco el canon aplicable al juicio de proporcionalidad en sentido estricto, sino otro, por cierto, mucho más laxo que debe realizarse “con toda la prudencia” para evitar constricciones indebidas al poder legislativo [por todas, STC 118/2016, de 23 de junio, FJ 3 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último argumento que se ofrece es que “la aplicación de la norma no solo puede dificultar sino incluso hacer del todo inviable en una pluralidad de escenarios la propia tramitación de aquella iniciativa de control del gobierno municipal, vetando la exigencia de responsabilidad y la remoción del Alcalde”. Aquí podría vislumbrarse quizá la alusión a un perjuicio ligado a la aplicación de la norma cuestionada, que en todo caso no se pondera con los beneficios que la medida proporcionaría; beneficios que se hallan lógicamente implícitos en las consideraciones previas de la Sentencia, pues no puede concebirse medida alguna que resulte adecuada y necesaria y que, sin embargo, no aporte al mismo tiempo beneficio alguno. Este es el quid del juicio de proporcionalidad en sentido estricto que la Sentencia no plantea correctamente ni, en consecuencia, puede resolver satisfactoriamente.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medida resulta ponderada o equilibrada, por derivarse de su aplicación más beneficios o ventajas para el interés general que perjuicios sobre otros bienes o intereses en conflicto, incluido el ius in officium de los concejales. En cualquier caso, no concurre el “desequilibrio patente y excesivo o irrazonable” entre la medida y la finalidad de la norma al que se refiere nuestra jurisprudencia (STC 55/1996, de 28 de marzo, FJ 9), pues “no cualquier desproporción o falta de equilibrio habrá de ser, desde la perspectiva que nos ocupa, constitucionalmente relevante, sino que sólo lo será aquélla en la que el exceso resulte verdaderamente manifiesto o evidente” (STC 60/2010, de 7 de octubre, FJ 16). En definitiva, aplicando ese estricto canon, la cuestión de inconstitucionalidad debió ser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