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5685-2016, promovido por don César Rodríguez Vázquez, representado por la Procuradora de los Tribunales doña Laura-Argentina Gómez Molina y asistido por el Abogado don Andrés Aguilera Herrera, contra el Auto de 21 de julio de 2016 de la Sala de lo Penal del Tribunal Supremo, que desestimó la pretensión de declaración de prescripción del delito por el que el recurrente fue condenado, manteniendo en sus propios términos la Sentencia núm. 749/2015 de la misma Sala, de 13 de noviembre de 2015, que condenó al recurrente como autor de un delito de blanqueo de capitales imprudente tras estimar el recurso de casación núm. 601-2015, planteado contra la Sentencia de la Sección Segunda de la Sala de lo Penal de la Audiencia Nacional, de 16 de febrero de 2015, dictada en el procedimiento abreviado núm. 192-2011.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octubre de 2016, la Procuradora de los Tribunales doña Laura-Argentina Gómez Molina, en nombre y representación de don César Rodríguez Vázquez y bajo la dirección del Letrado don Andrés Aguilera Herrera, interpuso demanda de amparo contra las resoluciones que se mencionan en el encabezamiento de esta Sentencia. Por otrosí se solicitó la suspensión de la ejecución de la pena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Sección Segunda de la Sala de lo Penal de la Audiencia Nacional de 16 de febrero de 2015 como autor de un delito de blanqueo de capitales doloso (art. 301 del Código penal: CP según redacción al tiempo de los hechos, previa a la reforma operada por la Ley Orgánica 5/2010), sin circunstancias modificativas de su responsabilidad, a la pena de tres años y tres meses de prisión, con la accesoria de inhabilitación para el derecho de sufragio pasivo durante el tiempo de la condena, y multa de 120.000 €, así como al pago de las costas que le correspondiesen. El resto de acusados fue condenado a las penas solicitadas en el escrito de modificación de conclusiones presentado al comienzo de la vista del juicio, con las que los mismos habían manifestado su conformidad. Uno de ellos lo fue como autor de un delito imprudente de blanqueo y el resto, como autores de un delito de blanqueo doloso.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probados refieren la existencia de un entramado familiar organizado a lo largo de los años (al menos desde el año 2000) para blanquear los beneficios procedentes del tráfico de drogas al que se dedicaba alguno de sus miembros. El lavado del dinero obtenido de dicho tráfico ilícito se llevaba a cabo a través de una estructura compleja en la que se distingue una trama personal y otra empresarial. La trama personal, que se identifica como el clan o grupo familiar “Ferramache”, se componía de un núcleo principal que constituía la estructura propiamente relacionada con la actividad de blanqueo de capitales, integrado por diversos parientes, que, cuando lo consideraban necesario, recurrían a los servicios prestados como testaferros por los demás acusados, algunos con vínculos familiares y otros no, terceros entre los que se sitúa al demandante de amparo. La trama empresarial se integraba por las sociedades constituidas por todos o algunos de los componentes del núcleo principal de la trama personal, que, a su vez, también se valía del grupo de testaferros. En los hechos probados de la Sentencia de la Audiencia Nacional se describe asimismo la actividad económica susceptible de integrar el delito de blanqueo de capitales, constando que tiene lugar mediante la realización de numerosas operaciones entre los años 2002 y 2011, incoándose diligencias previas por el Juzgado de Instrucción núm. 1 de Sanlúcar la Mayor el 28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recurrente, los hechos probados lo sitúan dentro del entramado entre las “personas físicas con tipología propia de testaferro”, pero no como miembro de “la estructura propiamente relacionada con la actividad de blanqueo de capitales”. Su contribución al blanqueo se detalla en el siguiente episodio: a pesar de sus escasos ingresos (revisados de 2002 a 2010), cuyo importe en el año 2003 no alcanzó los 15.000 €, compró el 14 de agosto de 2003, mediante el otorgamiento de la escritura pública correspondiente, una finca rústica con vivienda en el precio de 150.000 €, que vendió, también en escritura pública, el 27 de octubre de 2004 y en el precio de 180.000 € a María Dulcinea Canela Vázquez, una de las acusadas integrante de la estructura para blanquear, que protagoniza acciones de lavado anteriores y posteriores a la mencionada operación mercantil. Según se expone en el relato fáctico, fue esa acusada la que facilitó al señor Rodríguez Vázquez el dinero, procedente del comercio ilícito de la droga, necesario para que hiciera frente al pago de las cantidades que se debían abonar hasta que ella figurase como titular de la finca, lo que ocurrió más de un año después, si bien la ocupó en los quince días siguientes a su adquisición por el demandante. No hay referencia o mención al recurrente en el extenso relato fáctico adicional al episodio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demandante de amparo interpuso recurso de casación contra dicha Sentencia alegando, como primer motivo, la vulneración del derecho a la presunción de inocencia, por no haberse probado que conociera la procedencia del dinero con el que se pagó la finca; y, como segundo motivo, en conexión con tal desconocimiento y con carácter subsidiario para el caso de que no se absolviera, la inaplicación del artículo 301.3 CP, que tipifica el delito imprudente de blanqueo de capitales. En el párrafo final del segundo motivo se añade que esa calificación debía llevar igualmente a la absolución “por encontrarse el delito imprudente prescrito al haber transcurrido más de tres años ex artículo 131.1 del Código Penal anterior a la reforma de la L.O 5/2010, de 22 de junio que entró en vigor el día 23 de diciembre de 2010; o haber transcurrido 5 años si se quiere aplicar la reforma en base al artículo 131.1, párrafo 4 del Código Penal”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la Sala de lo Penal del Tribunal Supremo de 13 de noviembre de 2015 se estimó el recurso de casación del recurrente, al entender que está acreditado que el dinero para la adquisición de la finca fue aportado por la compradora final y procedía del tráfico de drogas, pero no lo está el conocimiento del origen ilícito del dinero por el demandante. El Tribunal dictó segunda Sentencia en la que le condenó como autor de un delito de blanqueo de capitales en su modalidad impudente (art. 301.3 CP) a la pena de un año de prisión, con la accesoria de inhabilitación especial para el derecho de sufragio pasivo durante el tiempo de la condena, y multa de 120.000 €, con doce días de arresto personal subsidiario en caso de impago, así como al pago de las costas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enero de 2016 la representación procesal del demandante de amparo solicitó la aclaración o la integración de la Sentencia anterior para que se declarase la prescripción del delito planteada en el recurso de casación, ya que, habiendo sido condenado por un delito imprudente de blanqueo de capitales, habían transcurrido más de tres o cinco años desde su comisión cuando se inició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denegó por Auto de 5 de febrero de 2016 la aclaración solicitada por el condenado. En él se argumenta que, “ningún motivo propuso con el alcance casacional preciso acerca de tal cuestión, limitándose el recurrente a solicitar ‘por infracción de ley a tenor del artículo 849, número 1 de la LECrim, por inaplicación del artículo 301.3 del Código Penal’, esto es, solicitaba la subsunción de su conducta como delito de blanqueo imprudente. Únicamente, al final del desarrollo del motivo, adujo el transcurso de más de tres o cinco años, sin conectar tal invocación con ámbito temporal alguno, es decir, sin establecer cuál sería ni el dies a quo ni el dies ad quem. Siendo ello así, en la sentencia recurrida, y obsérvese que el motivo ha sido formalizado por estricta infracción de ley, no consta elemento temporal alguno de donde deducir la prescripción del delito. Al contrario, existen referencias a ‘una exhaustiva investigación patrimonial por el Servicio de Vigilancia Aduanera de Sevilla, en unión con la Guardia Civil’ (página 5 de la sentencia recurrida). Además, el delito por el que ha sido condenado el recurrente se enmarca dentro de una inmensa operación de investigación sobre actividades de blanqueo de capitales, con multitud de acusados, la mayoría de los cuales resultaron condenados por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22 de febrero de 2016, la representación procesal del demandante de amparo promovió un incidente de nulidad de actuaciones para reparar la vulneración de los derechos fundamentales de su defendido que guardan relación con la denegación de la prescripción del delito por el que fue condenado conforme a las normas vigentes al tiempo de cometerse los hechos (art. 17,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4 de abril de 2016, se estimó el incidente de nulidad de actuaciones, en tanto “la prescripción actúa a favor del reo en cualquier momento del proceso, y es incluso acogible de oficio”, y se acordó declarar la nulidad parcial de la Sentencia y dar traslado a la parte promotora y al Ministerio Fiscal para que se pronunciaran sobre el exclusivo aspecto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Tribunal Supremo de 21 de julio de 2016, notificado el 15 de septiembre de 2016, se rechazó finalmente la prescripción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motivación de esa decisión, la Sala señala que la improsperabilidad de la petición de prescripción entronca con el hecho de que la conducta del recurrente “se enmarca en una compleja investigación, de la que resultan condenadas siete personas y disueltas ocho sociedades mercantiles junto a los decomisos que se decretan”. A su juicio, el relato de hechos probados muestra que, aunque formalmente la conducta del recurrente se refiere a la operación de compra y posterior venta en octubre de 2004, los hechos se enmarcan entre los años 2002 a 2010, pues así lo indica la referencia en él a que “en los hechos que van de 2002 a 2010, los únicos ingresos que le constan...”, que carecería de sentido en relación con la operación aislada de 2004 y que viene avalada por la afirmación también contenida en el factum de que dentro del entramado actuó como testaferro del grupo. Asimismo en atención a esa complejidad, el Tribunal Supremo hace suya expresamente “la acertada argumentación del Ministerio Fiscal para solicitar el rechazo del motivo ‘de plano’, y ello con amplia cita jurisprudencial (Sentencias, entre otras, 984/2013, de 17 de diciembre de 2013, 1 de febrero de 1999 y 26 de marzo de 2013), en tanto que ‘el planteamiento del recurrente adolece del error de entender su conducta aisladamente, prescindiendo del hecho probado que incardina su actuación, en la realizada por los otros acusados y más concretamente por Dulce Canela Vázquez, lo que determina la conexidad de delitos que obsta para la apreciación de la prescripción que se interesa’, citando, al efecto, nuestro Acuerdo Plenario de 26 de octubre de 2010. Y ello tanto desde la perspectiva de que no puede considerarse aisladamente la conducta del señor César Rodríguez Vázquez, como desde el plano de la conexidad procesal con la que ha sido juzgado todo ese complejo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plantea como motivo único de amparo la vulneración del derecho a la tutela judicial efectiva del artículo 24.1 CE y del derecho a la legalidad penal del artículo 25.1 CE en conexión con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pone de manifiesto que, conforme al artículo 132.1 CP, la prescripción penal se inicia con la fecha de comisión del delito y que se le ha condenado por una única operación de blanqueo, realizada el 27 de octubre de 2004, fecha en la que vende la finca con vivienda a una de las acusadas. Desde esa constatación concluye que el delito de blanqueo imprudente estaría ostensiblemente prescrito con base en el plazo de prescripción de tres años del artículo 131.1 CP entonces vigente, incluso si se fija el momento de interrupción de la prescripción en el inicio de las diligencias previas, 28 de junio de 2011, aun cuando solo más adelante aparece en las mismas. A su entender, la toma como referencia para computar el plazo de prescripción del margen temporal entre 2002 y 2010 es contraria a la tutela judicial efectiva y al principio de legalidad en conexión con el derecho a la libertad, citando numerosa jurisprudencia constitucional. En primer lugar, porque no hay pruebas de que su intervención se extendiera más que a la operación puntual de compraventa, sin que los hechos probados refieran otra actuación de blanqueo por su parte, como sí se recoge respecto a otros condenados. En segundo lugar, porque no es de recibo, conforme la prohibición constitucional de interpretar las normas sobre prescripción en contra de reo, atender para fijar el dies a quo o para ampliar el plazo de prescripción a lo que otras personas con las que no tiene nada que ver hayan realizado durante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la demanda se identifica con la ocasión que ofrece al Tribunal para aclarar o cambiar su doctrina, como consecuencia de un proceso de reflexión interna, respecto al hecho de que una persona que únicamente ha cometido una acción de forma aislada en un entramado delictivo tenga que sufrir la aplicación del cómputo del plazo de prescripción partiendo del acto cronológico último que hayan cometido otras personas con las que no tenía relación alguna. Se pone en relación ese supuesto con el que analizó la STC 37/2010, de 19 de julio, que fija como infracción que ha de ser tenida en cuenta para fijar el plazo de prescripción aquella por la que finalmente se condena, al margen de las calificaciones manejadas en el procedimiento. Se subraya específicamente la afirmación entonces vertida de que “[d]e lo contrario, se haría recaer y soportar sobre la persona sometida a un proceso penal los plazos de prescripción correspondientes a una infracción penal que no habría cometido y de la que, por lo tanto, tampoco habría de ser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Sección Cuarta de este Tribunal, por providencia de 9 de marzo de 2017, acordó admitir a trámite la demanda de amparo tras apreciar que ofrece especial trascendencia constitucional (art. 50.1 de la Ley Orgánica del Tribunal Constitucional: LOTC) porque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LOTC, también se acordó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providencia se acordó asimismo la formación de la pieza separada de suspensión. Por Auto de 18 de abril de 2017, la Sala Segunda de este Tribunal acordó suspender la ejecución de la pena privativa de libertad de un año de prisión y la accesoria de privación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16 de mayo de 2017, acordó dar vista de las actuaciones a la parte recurrente y al Ministerio Fiscal por plazo común de veinte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19 de junio de 2017, presentó alegaciones en las que se ratifica íntegramente en su demanda de amparo, que da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registrado el 20 de junio de 2017, interesó que se otorgara el amparo por vulneración de los derechos a la tutela judicial efectiva (art. 24.1 CE), en relación con el derecho a la libertad (art. 17.1 CE) y con el derecho a la legalidad penal (art. 25.1 CE), anulando los Autos de la Sala Segunda del Tribunal Supremo de 5 de febrero y de 21 de julio de 2016 y retrotrayendo las actuaciones al momento inmediatamente anterior a que se dictara el primero de dichos Autos, que entiende impugnado aunque no se recurriera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resulta jurídicamente irrelevante el argumento aducido en los dos Autos de que el condenado no articuló un motivo de casación específico sobre la prescripción, por cuanto se trata de una cuestión susceptible de ser apreciada de oficio, sin que sea precisa su previa petición o alegación. Descarta también de raíz que pueda dar cobertura a la decisión de rechazarla, regida por el principio de legalidad, la aplicación invocada en el Auto denegatorio de doctrina jurisprudencial o de una decisión emanada de un Pleno no jurisdiccional de la Sala Segunda del Tribunal Supremo, como si fuesen de aplicación preferente a la legislación reguladora de la materia. Por último y con más detenimiento, manifiesta la inadecuación de los razonamientos ofrecidos en el Auto de 21 de julio de 2016 que apelan a la complejidad de los hechos en los que participó el demandante de amparo y atienden al dato de que hayan sido objeto de un solo procedimiento o de que exista una relación de conexión entre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recuerda que las reglas sobre prescripción reflejan una autolimitación o renuncia del Estado al ejercicio del ius puniendi que viene definido en el régimen legal vigente (arts. 131 y 132 CP), sin que sea posible la utilización de criterios interpretativos que extiendan el alcance de la ley más allá de los casos previstos en la misma, como se establece en el artículo 4.1 CP. La duración de dichos plazos depende de la gravedad de la pena con la que esté conminada la ejecución del delito en cada caso, con las únicas excepciones previstas en la ley de los supuestos de concurso o de infracciones conexas (art. 131.4 CP) y de delito continuado, permanente o habitual (art. 132.1 CP). En tal medida, no considera admisible justificar la aplicación al autor de un delito imprudente del plazo de prescripción previsto para el mismo delito cometido dolosamente, de mayor duración conforme a la ley, por el hecho de que la actuación del recurrente se hizo en favor de una de las integrantes del grupo, condenada por delito doloso de blanqueo. Tampoco entiende que pueda justificarse el rechazo a la prescripción por el hecho de que el entramado personal de blanqueo estuviera actuando durante años y se haya calificado al demandante de amparo como testaferro en ese grupo, fijando el dies a quo en el momento de los últimos hechos objeto de la investigación policial (2011), porque no consta probado que el mismo interviniera en hechos posteriores a los otorgamientos de escritura pública de compra y de venta que tuvieron lugar en los años 2003 y 2004 respectivamente. Y esas carencias, remarca, no pueden suplirse por la referencia a la unidad procedimental o a la complejidad de la investigación, de la que no cabe extraer consecuencias para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descarta la referencia a la relación de conexión entre las infracciones que constituyen el objeto del proceso como elemento determinante de un régimen particular de prescripción conforme al artículo 131.4 CP en su redacción actual, antes en el artículo 131.5 CP, que obliga a tomar el plazo correspondiente al delito más grave, puesto que no existe tal conexidad en el caso. A su juicio, para que pueda hablarse de conexión procesal, el artículo 17 de la Ley de enjuiciamiento criminal exige la existencia de dos o más infracciones o hechos punibles, con independencia del número de hechos naturales que integren el objeto del proceso, pero en el presente asunto se entendió que la multiplicidad de hechos registrados en el relato fáctico integraba un solo delito de blanqueo de capitales, por lo que no es posible hablar de conexión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marzo de 2018, se señaló para deliberación y fallo de la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recurso de amparo el Auto de Sala de lo Penal del Tribunal Supremo de 21 de julio de 2016 (recurso de casación núm. 601-2015), que desestimó la pretensión de declaración de prescripción del delito de blanqueo imprudente por el que el recurrente fue condenado por Sentencia de la misma Sala de 13 de noviembre de 2015, tras estimarse el recurso de casación planteado contra la Sentencia de la Sección Segunda de la Sala de lo Penal de la Audiencia Nacional de 16 de febrero de 2015, dictada en el procedimiento abreviado núm. 192-2011.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vulnerado su derecho a la tutela judicial efectiva (art. 24.1 CE) en relación con el derecho a la libertad (art. 17 CE) y con el derecho a legalidad penal (art. 25.1 CE), en tanto se denegó que el delito por el que fue condenado hubiera prescrito con argumentos carentes de respaldo en los hechos probados y en los preceptos legales que regulan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vulneración de los derechos invocados, ya que el criterio interpretativo sostenido por el Tribunal Supremo —que supuso aplicar el régimen de la prescripción de las infracciones conexas a quien había sido condenado por delito imprudente junto a otras personas que participaron en forma dolosa en la ejecución del mismo delito— no puede entenderse amparado en la literalidad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se contrae a determinar si, como sostiene el demandante, con apoyo del Ministerio Fiscal, el Tribunal Supremo vulneró su derecho a la tutela judicial efectiva (art. 24.1 CE) en relación con los derechos a la libertad (art. 17 CE) y a la legalidad penal (art. 25.1 CE) al denegar su pretensión de prescripción del delito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entendimiento de la figura de la prescripción acogido en la STC 157/1990, de 18 de octubre, la STC 63/2001, de 17 de marzo, fijó el canon de enjuiciamiento constitucional aplicable en el examen de las decisiones aplicativas de la prescripción del delito, y junto a las posteriores SSTC 63/2005, de 14 de marzo, y 29/2008, de 20 de febrero, diseñan el marco de la actual doctrina constitucional sobre la institución. Al respecto se ha pronunciado después este Tribunal en numerosas ocasiones (entre otras muchas, y por citar algunas recientes SSTC 32/2013, de 11 de febrero; 51/2016, de 14 de marzo, o 138/2016, de 18 de julio). Existe también un importante número de resoluciones que trasladan con las debidas peculiaridades la concepción constitucional sobre la prescripción del delito a la prescripción de la pena (por todas, SSTC 97/2010, de 15 de noviembre, y 81/2014, de 28 de mayo), de la que se ha ocupado más intensamente este Tribunal en los últimos tiempos (entre otras, SSTC 63/2015, de 13 de abril; 12/2016, de 1 de febrero, o 14/2016,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su dilatada vigencia, conviene recordar la doctrina constitucional sentada por este Tribunal acerca del alcance del control externo que puede ejercer sobre las resoluciones judiciales dictadas en materia de prescripción del delito, y hacerlo de la mano de la STC 37/2010, traída por el recurrente y que sintetiza la doctrina relativa a la prescripción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apreciación en cada caso concreto de la prescripción como causa extintiva de la responsabilidad criminal es, en principio, una cuestión de legalidad que corresponde decidir a los tribunales ordinarios y que carece, por su propio contenido, de relevancia constitucional. No obstante, la aplicación de dicho instituto en el caso concreto puede ser objeto de examen constitucional en sede de amparo, porque la prescripción penal supone una autolimitación o renuncia del Estado al ius puniendi por el transcurso del tiempo, que encuentra también fundamento en principios y valores constitucionales, pues toma en consideración la función de la pena y la situación del presunto inculpado, su derecho a que no se dilate indebidamente la situación que supone la virtual amenaza de una sanción penal, con una justificación constitucional propia en el principio de seguridad jurídica (STC 37/2010, FJ 2; con cita de las SSTC 63/2005, de 14 de marzo, FJ 2; 29/2008, de 20 de febrero, FJ 7, y 79/2008,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canon aplicable para proceder, en su caso, a la revisión de una decisión judicial sobre prescripción es el propio del artículo 24 CE, si bien, dada la trascendencia de los valores constitucionales en juego en la aplicación del Derecho penal, el estándar de las exigencias derivadas del deber de motivación es más riguroso en estos casos al afectar a los derechos fundamentales a la libertad y a la legalidad penal de quien invoca la causa extintiva de la responsabilidad penal (por todas, STC 63/2001, FJ 7). La decisión que desestima una pretensión de prescripción de una infracción penal debe contener un razonamiento expresivo de los elementos tomados en cuenta por el órgano judicial al interpretar las normas relativas a la institución —que, por otra parte, distan mucho de ser diáfanas—, en el entendimiento de que esa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que sea respetuosa con los fines perseguidos por el instituto de la prescripción penal (STC 37/2010, FJ 2, con cita de las SSTC 63/2005, de 14 de marzo, FJ 3; 29/2008, de 20 de febrero, FJ 7; 60/2008, de 26 de mayo, FJ 8; 79/2008, de 14 de julio, FJ 2, y 129/2008,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los fines de la institución, este Tribunal tiene declarado que “el establecimiento de un plazo temporal para que el Estado pueda proceder a perseguir las infracciones penales persigue a su vez que no se produzca una latencia sine die de la amenaza penal que genere inseguridad en los ciudadanos respecto del calendario de exigencia de responsabilidad por hechos cometidos en un pasado más o menos remoto. Dicho con otras palabras, el plazo de prescripción toma en consideración la función de la pena y la situación del presunto inculpado, su derecho a que no se dilate indebidamente la situación que supone la virtual amenaza de una sanción penal, de manera que lo que la existencia de la prescripción penal supone es que la infracción penal tiene un plazo de vida, pasado el cual se extingue toda posibilidad de exigir responsabilidades por razón de su comisión. Pero también obedece a la esencia de la propia amenaza penal, que requiere ser actuada de forma seria, rápida y eficaz, a fin de lograr satisfacer las finalidades de prevención general y de prevención especial que se le atribuyen.” (STC 37/2010, FJ 2, con cita de las SSTC 63/2005, de 14 de marzo, FJ 4, y 79/2008,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ya se señaló, el control constitucional se ciñe a verificar si la interpretación seguida por el órgano judicial se compadece con la esencia y fundamento de la prescripción y satisface la exigencia constitucional de que toda decisión judicial adoptada en esta materia manifieste un nexo de coherencia con la norma que le sirve de fundamento y con los fines que justifican la existencia de esa causa extintiva de la responsabilidad penal. Al respecto, el Tribunal ha tenido ocasión de precisar, de un lado, que, al estar en juego el derecho a la libertad sometido al principio de legalidad, la interpretación no puede exceder el tenor literal de los preceptos aplicables ni es admisible una interpretación restrictiva contra reo carente del necesario rigor en relación con el tenor literal de la norma que le sirve de fundamento y con los fines de la prescripción (STC 29/2008, de 20 de febrero, FFJJ 10 y 12, y 37/2010, FJ 5). De otro lado, en cuanto a la incidencia de los fines que justifican la existencia de la prescripción, ha especificado que “si constituye ‘una renuncia o autolimitación del Estado al ius puniendi’, que tiene como efecto no la prescripción de la acción penal para perseguir la infracción punitiva, sino la de esta misma, … la determinación de las previsiones legales aplicables sobre la prescripción han de ser las correspondientes no al título de imputación … sino a la infracción de la que resulta penalmente responsable, es decir, la infracción penal que hubiera cometido y por la que habría de ser condenado de no concurrir la prescripción como causa extintiva de la responsabilidad penal. De lo contrario, se haría recaer y soportar sobre la persona sometida a un proceso penal los plazos de prescripción correspondientes a una infracción penal que no habría cometido y de la que, por lo tanto, tampoco habría de ser responsable” (STC 37/2010,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aplicar los referidos parámetros de examen constitucional de la cuestión debatida, se impone un recordatorio de los hechos relevantes para tal decisión y algunas precisiones sobre la normativa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con mayor detalle en los antecedentes, los hechos probados refieren la existencia de un entramado organizado para blanquear los ingresos procedentes del narcotráfico al que se dedicaban algunos miembros del clan familiar, con la descripción de numerosas operaciones y actividades que alcanzan hasta el año 2011, en que se concluye la investigación policial, incoándose diligencias previas por el Juzgado de Instrucción núm. 1 de Sanlúcar la Mayor el 28 de junio de 2011. En ese relato, los hechos que conciernen al recurrente, cuyo papel en la estructura de lavado se juzga de testaferro, se ciñen a una concreta operación simulada de adquisición y posterior venta de una finca a una de las acusadas artífice de la estructura que se realizó entre el 2003 y el 2004, que se calificó en la instancia como autoría de un delito de blanqueo doloso y finalmente en casación como autoría de un delito de blanqueo imprudente del artículo 301.3 CP. La actuación del resto de acusados, todos los cuales mostraron conformidad en la instancia y reconocieron los hechos, fue calificada, salvo en un caso, como autoría de un delito de blanqueo de capitales doloso del artículo 301.1 CP, incluidas las diversas acciones atribuidas a la coacusada con la que realizó la transacción 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normativa sobre prescripción concernida, debe tenerse presente que la redacción del artículo 131 CP vigente en el momento de los hechos que concretamente se atribuyen al recurrente, años 2003 y 2004, establecía, dentro del régimen general que fija el termino prescriptivo en función de la gravedad del delito determinada por la gravedad de la pena, un plazo de prescripción para el delito de blanqueo imprudente de tres años, mientras que el delito de blanqueo doloso tenía un plazo prescriptivo de diez años (art. 131.1 en relación con los arts. 301.1 y 301.3 CP, respectivamente). Por su parte, el artículo 132.1 CP disponía, como ahora, que “[l]os términos previstos en el artículo precedente [plazos] se computarán desde el día en que se haya cometido la infracción punible. En los casos de delito continuado, delito permanente, así como en las infracciones que exijan habitualidad, tales términos se computarán, respectivamente, desde el día en que se realizó la última infracción, desde que se eliminó la situación ilícita o desde que cesó la conducta”. No se contemplaba entonces una regla como la del actual artículo 131.4 CP (redacción fruto de la Ley Orgánica 1/2015, en vigor a partir del 1 de julio de 2015), introducida por primera vez como número 5 del artículo 131 CP por la Ley Orgánica 5/2010 (en vigor a partir del 23/12/2010), donde se fija como plazo de prescripción en los supuestos de concurso de infracciones o de infracciones conexas el que corresponda al delito más grave. Esa innovación normativa carece de reflejo en el debate procesal acaecido, cuyo objeto es determinar si puede afirmarse la extinción de la responsabilidad criminal del demandante por el delito de blanqueo imprudente conforme a las reglas sobre prescripción previstas al tiempo de suceder los hechos, esto es, en la redacción anterior a la reforma introducida por la Ley Orgánica 5/2010, que fue la que asimismo se aplicó para calificar los hechos en la instancia. En buena lógica, el precepto tampoco tiene reflejo en la motivación de la decisión judicial final denegatoria impugnada, que es la que corresponde revisar externamente en este proceso constitucional, lo que, por lo demás, está en consonancia con la tradicional posición del Tribunal Supremo de rechazar la aplicación retroactiva de las normas reguladoras de la prescripción salvo que su contenido sea favorable (por todas, STS 101/2012,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antes expuesta, de los hechos descritos y de la normativa concernida, deben examinarse los argumentos ofrecidos por el Tribunal Supremo para rechazar la prescripción del delito de blanqueo imprudente por el que se condenó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ofrecido por el Tribunal Supremo para descartar la extinción de la responsabilidad criminal del recurrente por prescripción parte del presupuesto jurídico, derivado de una reiterada posición jurisprudencial de dicho órgano —hecha expresa en la resolución impugnada con cita de las STS 984/2013, de 17 de diciembre de 2013, 1 de febrero de 1999 y 26 de marzo de 2013 y del acuerdo Plenario de 26 de octubre de 2010— de que en los delitos conexos se tomará en consideración el delito más grave declarado cometido para fijar el plazo de prescripción del conjunto punitivo enjuiciado. A partir de esa premisa y ya desde una perspectiva fáctica, apela a la complejidad de la investigación, con implicación de numerosas personas y acciones, que impide considerar de forma separada a efectos de prescripción del episodio de la compraventa. La actuación del demandante tendría en realidad una extensión temporal mayor que el puntual negocio de compra y venta de la finca (años 2003 y 2004), pues se enmarca entre los años 2002 a 2010, como pone de manifiesto la mención en los hechos probados a que “también actúa como testaferro del grupo” y a que “en los hechos que van de 2002 a 2010, los únicos ingresos que le constan...”, afirmaciones que carecerían de sentido en relación con la operación aislada de 2004. De ahí concluye que el planteamiento del recurrente adolece del error de entender su conducta prescindiendo del hecho probado que incardina su actuación en la realizada por los otros acusados, singularmente en la conducta y el delito de la coacusada que intervino en dicha transacción, lo que determina la conexidad de delitos que obsta para la apreciación de la prescripción que se interesa tanto desde la perspectiva de que no puede considerarse aisladamente su conducta como desde el plano de la conexidad procesal con la que ha sido juzgado todo ese complejo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controvierte en su demanda de amparo la posición jurisprudencial del Tribunal Supremo de que en los delitos conexos se tome en consideración para determinar el comienzo del cómputo del plazo de prescripción el conjunto punitivo enjuiciado. Alega que se ha vulnerado su derecho a la tutela judicial efectiva al haberse hecho aplicación de dicha jurisprudencia cuando el delito de blanqueo de capitales imprudente por el que ha sido condenado está desconectado del complejo de conductas desarrolladas por el resto de acusados y el entramado societario, quedando su intervención limitada a una operación puntual de compraventa, aislada en el tiempo en los años 2003 y 2004, sin que en los hechos probados se refiera cualquier otra actuación por su parte, como sí se recoge respecto a otros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externa de control que corresponde proyectar a este Tribunal en este tipo de procedimientos de amparo, bajo la invocación del deber reforzado de motivación de instituciones vinculadas a la libertad personal y a la legalidad penal, hay que concluir que el proceso argumental a partir del cual la resolución judicial impugnada concluye que el plazo de prescripción del delito cometido por el recurrente no habría prescrito, tal como alega el demandante y es defendido por el Ministerio Fiscal, incurre en una vulneración del derecho a la tutela judicial efectiva (art. 24.1 CE) en relación con los derechos a la libertad personal (art. 17.1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hechos probados no existe referencia alguna a una actividad de blanqueo o a cualquier otra intervención por parte del demandante que trascienda la operación de compraventa finalizada en octubre de 2004, a diferencia de las múltiples actuaciones que se describen respecto a otros acusados. No puede ayudar a superar ese obstáculo el dato de que se mencione en el factum que se revisaron sus ingresos entre los años 2002 y 2010, pues es obvio que la apertura de una investigación patrimonial respecto a ese período y, como fue el caso, el resultado relativo a los escasos ingresos en el citado intervalo no es constitutivo de un ilícito penal de blanqueo ni de ningún otro. Y tampoco sostiene esa extensión de su participación en la trama su categorización como testaferro de la organización, a la que también recurre la Sala. El calificativo resulta quizá aplicable al demandante por su actuación de compra y venta de la finca, pero no supone un elemento definitorio del sujeto como autor del delito más allá de esa conducta en ausencia de ulteriores datos que acrediten una aportación posterior efectiva en la estructura de blanqueo, en calidad de testaferro o en otra. Incluso el razonamiento del órgano judicial en el que se sostiene la calificación de su conducta como delito imprudente se opone a la idea de que fuera testaferro de la organización y blanqueara ingresos del clan durante ocho años. Allí el debate sobre el carácter doloso o imprudente de su actuación se identifica con la acreditación del conocimiento, las dudas fundadas o solo la ignorancia superable por parte del recurrente acerca del origen ilícito del dinero con que se financió la adquisición y venta de la finca, como asimismo se debatió en la primera instancia, sin atender a intervención posterior alguna del demandante en los múltiples hechos y operaciones mercantiles dirigidas a blanquear las ganancias ilícitas. En suma, el argumento que apela a la existencia de una actuación delictiva temporalmente extendida por parte del recurrente es irrazonable, ya que lo es la interpretación de los hechos probados en que se asienta, y, en tal medida, resulta constitucionalmente censurable.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relación con esa imposibilidad de construir la conexión que funda el rechazo de la prescripción a partir de los hechos probados opera el dato de que la conducta del recurrente está delimitada de forma objetiva y subjetiva y constituya de forma autónoma un delito de blanqueo imprudente ya perfeccionado, al margen de la calificación de la conducta de la otra acusada para quien compró la finca y del hecho de que se trate de dos conductas que convergen en el resultado material de blanqueo. La consideración como un solo delito a efectos de prescripción de tipos delictivos tan claramente diferenciados como los concurrentes en el caso excede el más directo significado gramatical de los preceptos legales aplicados (arts. 131.1 y 132.1 CP), que disponen la extinción del delito en tanto transcurra el término prescriptivo señalado en función de su gravedad y no por la gravedad de otro delito coetáneo cometido por otra persona que está subjetivamente desconectado. Por ello, como también aprecia el Ministerio Fiscal en sus alegaciones, hay que afirmar que en este caso se ha hecho una aplicación del instituto de la prescripción irrazonable, que al estar incursa en un defecto de motivación con relevancia constitucional, debe llevar a apreciar la vulneración del artículo 24.1 CE en relación con los derechos a la libertad (art. 17.1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y el otorgamiento del amparo por la mencionada vulneración conducen a anular la resolución recurrida y a retrotraer las actuaciones, a fin de que sean los órganos de la jurisdicción ordinaria quienes se pronuncien, de forma respetuosa con el derecho fundamental, respecto 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César Rodríguez Vázquez.</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sin indefensión (art. 24.1 CE) en relación con el derecho a la libertad (art. 17.1 CE) y con 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anular el Auto de la Sala Segunda del Tribunal Supremo de 21 de julio de 2016, dictado en el recurso de casación núm. 601-2015, retrotrayendo las actuaciones al momento anterior a su pronunciamiento a fin de que se dicte otra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5685-2016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que considero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sin controvertir la posición jurisprudencial del Tribunal Supremo de que en los delitos conexos se tome en consideración para determinar el comienzo del cómputo del plazo de prescripción el conjunto punitivo enjuiciado, ha concluido que la resolución impugnada ha vulnerado el derecho del artículo 24.1 CE, en relación con los derechos a la libertad (art. 17.1 CE) y a la legalidad penal (art. 25.1 CE), por la concreta aplicación que de dicha doctrina se ha hecho respecto de la conducta del recurrente. El argumento esencial ha sido que los hechos probados no refieren ninguna intervención por parte del demandante que trascienda la operación de compraventa finalizada en octubre de 2004, por lo que resulta irrazonable la afirmación de que existe una actuación delictiva temporalmente extendida por parte del recurrente, al carecer de base fáctica.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ese argumento de la ausencia de base fáctica del razonamiento judicial. La resolución impugnada, como también se reconoce por parte de la opinión mayoritaria en la que se sustenta la Sentencia, expuso que si bien la conducta por la que fue condenado el recurrente se refiere a una determinada operación de compra y sucesiva venta de una finca que se desarrolló en 2004, (i) su conducta se enmarca en una compleja investigación en la que han resultado condenadas siete personas y disueltas ocho sociedades mercantiles y que aparece referida a hechos que se desarrollan entre los años 2002 a 2010; y (ii) en los hechos probados de la Sentencia de instancia se pone de manifiesto su carácter de testaferro del grupo Fermache y se menciona la circunstancia de la inexistencia de ingresos en los años objeto de investigación 2002 a 2010, lo que serían afirmaciones que carecerían de sentido en relación con la operación aislada de 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externa de control que corresponde proyecta a este Tribunal en este tipo de procedimientos de amparo bajo la invocación del deber reforzado de motivación de instituciones vinculadas a la libertad personal, no cabe considerar incurso en ningún defecto constitucional de motivación el citado razonamiento, ya que toma como presupuesto elementos y valoraciones fácticas contenidas en el apartado de hechos probados de la sentencia de instancia, que han quedado invariados en la de casación, sobre las que este Tribunal Constitucional no puede entrar a conocer por prohibirlo el artículo 44.1 b) de la Ley Orgánica del Tribunal Constitucional. De ese modo, más allá de las legítimas discrepancias que puedan expresarse en relación con la valoración efectuada por el órgano judicial sobre el carácter extendido de la participación del recurrente en todo el complejo de hechos enjuiciados, que quedan al margen del control de constitucionalidad, no puede apreciarse que la argumentación judicial responda a parámetros que resulten groseramente ilógicos por carecer de base fáctica.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la razón por la que considero que debía haberse desestimado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marzo de dos mil dieciocho.-Juan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