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5 de marzo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5685-2016, promovido por don César Rodríguez Vázquez, representado por la Procuradora de los Tribunales doña Laura-Argentina Gómez Molina y asistido por el Abogado don Andrés Aguilera Herrera, contra el Auto de 21 de julio de 2016 de la Sala de lo Penal del Tribunal Supremo, que desestimó la pretensión de declaración de prescripción del delito por el que el recurrente fue condenado, manteniendo en sus propios términos la Sentencia núm. 749/2015 de la misma Sala, de 13 de noviembre de 2015, que condenó al recurrente como autor de un delito de blanqueo de capitales imprudente tras estimar el recurso de casación núm. 601-2015, planteado contra la Sentencia de la Sección Segunda de la Sala de lo Penal de la Audiencia Nacional, de 16 de febrero de 2015, dictada en el procedimiento abreviado núm. 192-2011.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octubre de 2016, la Procuradora de los Tribunales doña Laura-Argentina Gómez Molina, en nombre y representación de don César Rodríguez Vázquez y bajo la dirección del Letrado don Andrés Aguilera Herrera, interpuso demanda de amparo contra las resoluciones que se mencionan en el encabezamiento de esta Sentencia. Por otrosí se solicitó la suspensión de la ejecución de la pena impuesta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Sentencia de la Sección Segunda de la Sala de lo Penal de la Audiencia Nacional de 16 de febrero de 2015 como autor de un delito de blanqueo de capitales doloso (art. 301 del Código penal: CP según redacción al tiempo de los hechos, previa a la reforma operada por la Ley Orgánica 5/2010), sin circunstancias modificativas de su responsabilidad, a la pena de tres años y tres meses de prisión, con la accesoria de inhabilitación para el derecho de sufragio pasivo durante el tiempo de la condena, y multa de 120.000 €, así como al pago de las costas que le correspondiesen. El resto de acusados fue condenado a las penas solicitadas en el escrito de modificación de conclusiones presentado al comienzo de la vista del juicio, con las que los mismos habían manifestado su conformidad. Uno de ellos lo fue como autor de un delito imprudente de blanqueo y el resto, como autores de un delito de blanqueo doloso.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probados refieren la existencia de un entramado familiar organizado a lo largo de los años (al menos desde el año 2000) para blanquear los beneficios procedentes del tráfico de drogas al que se dedicaba alguno de sus miembros. El lavado del dinero obtenido de dicho tráfico ilícito se llevaba a cabo a través de una estructura compleja en la que se distingue una trama personal y otra empresarial. La trama personal, que se identifica como el clan o grupo familiar “Ferramache”, se componía de un núcleo principal que constituía la estructura propiamente relacionada con la actividad de blanqueo de capitales, integrado por diversos parientes, que, cuando lo consideraban necesario, recurrían a los servicios prestados como testaferros por los demás acusados, algunos con vínculos familiares y otros no, terceros entre los que se sitúa al demandante de amparo. La trama empresarial se integraba por las sociedades constituidas por todos o algunos de los componentes del núcleo principal de la trama personal, que, a su vez, también se valía del grupo de testaferros. En los hechos probados de la Sentencia de la Audiencia Nacional se describe asimismo la actividad económica susceptible de integrar el delito de blanqueo de capitales, constando que tiene lugar mediante la realización de numerosas operaciones entre los años 2002 y 2011, incoándose diligencias previas por el Juzgado de Instrucción núm. 1 de Sanlúcar la Mayor el 28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al recurrente, los hechos probados lo sitúan dentro del entramado entre las “personas físicas con tipología propia de testaferro”, pero no como miembro de “la estructura propiamente relacionada con la actividad de blanqueo de capitales”. Su contribución al blanqueo se detalla en el siguiente episodio: a pesar de sus escasos ingresos (revisados de 2002 a 2010), cuyo importe en el año 2003 no alcanzó los 15.000 €, compró el 14 de agosto de 2003, mediante el otorgamiento de la escritura pública correspondiente, una finca rústica con vivienda en el precio de 150.000 €, que vendió, también en escritura pública, el 27 de octubre de 2004 y en el precio de 180.000 € a María Dulcinea Canela Vázquez, una de las acusadas integrante de la estructura para blanquear, que protagoniza acciones de lavado anteriores y posteriores a la mencionada operación mercantil. Según se expone en el relato fáctico, fue esa acusada la que facilitó al señor Rodríguez Vázquez el dinero, procedente del comercio ilícito de la droga, necesario para que hiciera frente al pago de las cantidades que se debían abonar hasta que ella figurase como titular de la finca, lo que ocurrió más de un año después, si bien la ocupó en los quince días siguientes a su adquisición por el demandante. No hay referencia o mención al recurrente en el extenso relato fáctico adicional al episodio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del demandante de amparo interpuso recurso de casación contra dicha Sentencia alegando, como primer motivo, la vulneración del derecho a la presunción de inocencia, por no haberse probado que conociera la procedencia del dinero con el que se pagó la finca; y, como segundo motivo, en conexión con tal desconocimiento y con carácter subsidiario para el caso de que no se absolviera, la inaplicación del artículo 301.3 CP, que tipifica el delito imprudente de blanqueo de capitales. En el párrafo final del segundo motivo se añade que esa calificación debía llevar igualmente a la absolución “por encontrarse el delito imprudente prescrito al haber transcurrido más de tres años ex artículo 131.1 del Código Penal anterior a la reforma de la L.O 5/2010, de 22 de junio que entró en vigor el día 23 de diciembre de 2010; o haber transcurrido 5 años si se quiere aplicar la reforma en base al artículo 131.1, párrafo 4 del Código Penal”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Sentencia de la Sala de lo Penal del Tribunal Supremo de 13 de noviembre de 2015 se estimó el recurso de casación del recurrente, al entender que está acreditado que el dinero para la adquisición de la finca fue aportado por la compradora final y procedía del tráfico de drogas, pero no lo está el conocimiento del origen ilícito del dinero por el demandante. El Tribunal dictó segunda Sentencia en la que le condenó como autor de un delito de blanqueo de capitales en su modalidad impudente (art. 301.3 CP) a la pena de un año de prisión, con la accesoria de inhabilitación especial para el derecho de sufragio pasivo durante el tiempo de la condena, y multa de 120.000 €, con doce días de arresto personal subsidiario en caso de impago, así como al pago de las costas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14 de enero de 2016 la representación procesal del demandante de amparo solicitó la aclaración o la integración de la Sentencia anterior para que se declarase la prescripción del delito planteada en el recurso de casación, ya que, habiendo sido condenado por un delito imprudente de blanqueo de capitales, habían transcurrido más de tres o cinco años desde su comisión cuando se inició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denegó por Auto de 5 de febrero de 2016 la aclaración solicitada por el condenado. En él se argumenta que, “ningún motivo propuso con el alcance casacional preciso acerca de tal cuestión, limitándose el recurrente a solicitar ‘por infracción de ley a tenor del artículo 849, número 1 de la LECrim, por inaplicación del artículo 301.3 del Código Penal’, esto es, solicitaba la subsunción de su conducta como delito de blanqueo imprudente. Únicamente, al final del desarrollo del motivo, adujo el transcurso de más de tres o cinco años, sin conectar tal invocación con ámbito temporal alguno, es decir, sin establecer cuál sería ni el dies a quo ni el dies ad quem. Siendo ello así, en la sentencia recurrida, y obsérvese que el motivo ha sido formalizado por estricta infracción de ley, no consta elemento temporal alguno de donde deducir la prescripción del delito. Al contrario, existen referencias a ‘una exhaustiva investigación patrimonial por el Servicio de Vigilancia Aduanera de Sevilla, en unión con la Guardia Civil’ (página 5 de la sentencia recurrida). Además, el delito por el que ha sido condenado el recurrente se enmarca dentro de una inmensa operación de investigación sobre actividades de blanqueo de capitales, con multitud de acusados, la mayoría de los cuales resultaron condenados por su 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22 de febrero de 2016, la representación procesal del demandante de amparo promovió un incidente de nulidad de actuaciones para reparar la vulneración de los derechos fundamentales de su defendido que guardan relación con la denegación de la prescripción del delito por el que fue condenado conforme a las normas vigentes al tiempo de cometerse los hechos (art. 17, 24.1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4 de abril de 2016, se estimó el incidente de nulidad de actuaciones, en tanto “la prescripción actúa a favor del reo en cualquier momento del proceso, y es incluso acogible de oficio”, y se acordó declarar la nulidad parcial de la Sentencia y dar traslado a la parte promotora y al Ministerio Fiscal para que se pronunciaran sobre el exclusivo aspecto de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del Tribunal Supremo de 21 de julio de 2016, notificado el 15 de septiembre de 2016, se rechazó finalmente la prescripción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motivación de esa decisión, la Sala señala que la improsperabilidad de la petición de prescripción entronca con el hecho de que la conducta del recurrente “se enmarca en una compleja investigación, de la que resultan condenadas siete personas y disueltas ocho sociedades mercantiles junto a los decomisos que se decretan”. A su juicio, el relato de hechos probados muestra que, aunque formalmente la conducta del recurrente se refiere a la operación de compra y posterior venta en octubre de 2004, los hechos se enmarcan entre los años 2002 a 2010, pues así lo indica la referencia en él a que “en los hechos que van de 2002 a 2010, los únicos ingresos que le constan...”, que carecería de sentido en relación con la operación aislada de 2004 y que viene avalada por la afirmación también contenida en el factum de que dentro del entramado actuó como testaferro del grupo. Asimismo en atención a esa complejidad, el Tribunal Supremo hace suya expresamente “la acertada argumentación del Ministerio Fiscal para solicitar el rechazo del motivo ‘de plano’, y ello con amplia cita jurisprudencial (Sentencias, entre otras, 984/2013, de 17 de diciembre de 2013, 1 de febrero de 1999 y 26 de marzo de 2013), en tanto que ‘el planteamiento del recurrente adolece del error de entender su conducta aisladamente, prescindiendo del hecho probado que incardina su actuación, en la realizada por los otros acusados y más concretamente por Dulce Canela Vázquez, lo que determina la conexidad de delitos que obsta para la apreciación de la prescripción que se interesa’, citando, al efecto, nuestro Acuerdo Plenario de 26 de octubre de 2010. Y ello tanto desde la perspectiva de que no puede considerarse aisladamente la conducta del señor César Rodríguez Vázquez, como desde el plano de la conexidad procesal con la que ha sido juzgado todo ese complejo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plantea como motivo único de amparo la vulneración del derecho a la tutela judicial efectiva del artículo 24.1 CE y del derecho a la legalidad penal del artículo 25.1 CE en conexión con el derecho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pone de manifiesto que, conforme al artículo 132.1 CP, la prescripción penal se inicia con la fecha de comisión del delito y que se le ha condenado por una única operación de blanqueo, realizada el 27 de octubre de 2004, fecha en la que vende la finca con vivienda a una de las acusadas. Desde esa constatación concluye que el delito de blanqueo imprudente estaría ostensiblemente prescrito con base en el plazo de prescripción de tres años del artículo 131.1 CP entonces vigente, incluso si se fija el momento de interrupción de la prescripción en el inicio de las diligencias previas, 28 de junio de 2011, aun cuando solo más adelante aparece en las mismas. A su entender, la toma como referencia para computar el plazo de prescripción del margen temporal entre 2002 y 2010 es contraria a la tutela judicial efectiva y al principio de legalidad en conexión con el derecho a la libertad, citando numerosa jurisprudencia constitucional. En primer lugar, porque no hay pruebas de que su intervención se extendiera más que a la operación puntual de compraventa, sin que los hechos probados refieran otra actuación de blanqueo por su parte, como sí se recoge respecto a otros condenados. En segundo lugar, porque no es de recibo, conforme la prohibición constitucional de interpretar las normas sobre prescripción en contra de reo, atender para fijar el dies a quo o para ampliar el plazo de prescripción a lo que otras personas con las que no tiene nada que ver hayan realizado durante ese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 trascendencia constitucional de la demanda se identifica con la ocasión que ofrece al Tribunal para aclarar o cambiar su doctrina, como consecuencia de un proceso de reflexión interna, respecto al hecho de que una persona que únicamente ha cometido una acción de forma aislada en un entramado delictivo tenga que sufrir la aplicación del cómputo del plazo de prescripción partiendo del acto cronológico último que hayan cometido otras personas con las que no tenía relación alguna. Se pone en relación ese supuesto con el que analizó la STC 37/2010, de 19 de julio, que fija como infracción que ha de ser tenida en cuenta para fijar el plazo de prescripción aquella por la que finalmente se condena, al margen de las calificaciones manejadas en el procedimiento. Se subraya específicamente la afirmación entonces vertida de que “[d]e lo contrario, se haría recaer y soportar sobre la persona sometida a un proceso penal los plazos de prescripción correspondientes a una infracción penal que no habría cometido y de la que, por lo tanto, tampoco habría de ser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 La Sección Cuarta de este Tribunal, por providencia de 9 de marzo de 2017, acordó admitir a trámite la demanda de amparo tras apreciar que ofrece especial trascendencia constitucional (art. 50.1 de la Ley Orgánica del Tribunal Constitucional: LOTC) porque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artículo 51 LOTC, también se acordó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providencia se acordó asimismo la formación de la pieza separada de suspensión. Por Auto de 18 de abril de 2017, la Sala Segunda de este Tribunal acordó suspender la ejecución de la pena privativa de libertad de un año de prisión y la accesoria de privación del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16 de mayo de 2017, acordó dar vista de las actuaciones a la parte recurrente y al Ministerio Fiscal por plazo común de veinte días para presentar las alegaciones que estimasen pertinentes, de conformidad con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escrito registrado 19 de junio de 2017, presentó alegaciones en las que se ratifica íntegramente en su demanda de amparo, que da por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escrito registrado el 20 de junio de 2017, interesó que se otorgara el amparo por vulneración de los derechos a la tutela judicial efectiva (art. 24.1 CE), en relación con el derecho a la libertad (art. 17.1 CE) y con el derecho a la legalidad penal (art. 25.1 CE), anulando los Autos de la Sala Segunda del Tribunal Supremo de 5 de febrero y de 21 de julio de 2016 y retrotrayendo las actuaciones al momento inmediatamente anterior a que se dictara el primero de dichos Autos, que entiende impugnado aunque no se recurriera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resulta jurídicamente irrelevante el argumento aducido en los dos Autos de que el condenado no articuló un motivo de casación específico sobre la prescripción, por cuanto se trata de una cuestión susceptible de ser apreciada de oficio, sin que sea precisa su previa petición o alegación. Descarta también de raíz que pueda dar cobertura a la decisión de rechazarla, regida por el principio de legalidad, la aplicación invocada en el Auto denegatorio de doctrina jurisprudencial o de una decisión emanada de un Pleno no jurisdiccional de la Sala Segunda del Tribunal Supremo, como si fuesen de aplicación preferente a la legislación reguladora de la materia. Por último y con más detenimiento, manifiesta la inadecuación de los razonamientos ofrecidos en el Auto de 21 de julio de 2016 que apelan a la complejidad de los hechos en los que participó el demandante de amparo y atienden al dato de que hayan sido objeto de un solo procedimiento o de que exista una relación de conexión entre las infracciones.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recuerda que las reglas sobre prescripción reflejan una autolimitación o renuncia del Estado al ejercicio del ius puniendi que viene definido en el régimen legal vigente (arts. 131 y 132 CP), sin que sea posible la utilización de criterios interpretativos que extiendan el alcance de la ley más allá de los casos previstos en la misma, como se establece en el artículo 4.1 CP. La duración de dichos plazos depende de la gravedad de la pena con la que esté conminada la ejecución del delito en cada caso, con las únicas excepciones previstas en la ley de los supuestos de concurso o de infracciones conexas (art. 131.4 CP) y de delito continuado, permanente o habitual (art. 132.1 CP). En tal medida, no considera admisible justificar la aplicación al autor de un delito imprudente del plazo de prescripción previsto para el mismo delito cometido dolosamente, de mayor duración conforme a la ley, por el hecho de que la actuación del recurrente se hizo en favor de una de las integrantes del grupo, condenada por delito doloso de blanqueo. Tampoco entiende que pueda justificarse el rechazo a la prescripción por el hecho de que el entramado personal de blanqueo estuviera actuando durante años y se haya calificado al demandante de amparo como testaferro en ese grupo, fijando el dies a quo en el momento de los últimos hechos objeto de la investigación policial (2011), porque no consta probado que el mismo interviniera en hechos posteriores a los otorgamientos de escritura pública de compra y de venta que tuvieron lugar en los años 2003 y 2004 respectivamente. Y esas carencias, remarca, no pueden suplirse por la referencia a la unidad procedimental o a la complejidad de la investigación, de la que no cabe extraer consecuencias para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descarta la referencia a la relación de conexión entre las infracciones que constituyen el objeto del proceso como elemento determinante de un régimen particular de prescripción conforme al artículo 131.4 CP en su redacción actual, antes en el artículo 131.5 CP, que obliga a tomar el plazo correspondiente al delito más grave, puesto que no existe tal conexidad en el caso. A su juicio, para que pueda hablarse de conexión procesal, el artículo 17 de la Ley de enjuiciamiento criminal exige la existencia de dos o más infracciones o hechos punibles, con independencia del número de hechos naturales que integren el objeto del proceso, pero en el presente asunto se entendió que la multiplicidad de hechos registrados en el relato fáctico integraba un solo delito de blanqueo de capitales, por lo que no es posible hablar de conexión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marzo de 2018, se señaló para deliberación y fallo de la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recurso de amparo el Auto de Sala de lo Penal del Tribunal Supremo de 21 de julio de 2016 (recurso de casación núm. 601-2015), que desestimó la pretensión de declaración de prescripción del delito de blanqueo imprudente por el que el recurrente fue condenado por Sentencia de la misma Sala de 13 de noviembre de 2015, tras estimarse el recurso de casación planteado contra la Sentencia de la Sección Segunda de la Sala de lo Penal de la Audiencia Nacional de 16 de febrero de 2015, dictada en el procedimiento abreviado núm. 192-2011.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considera vulnerado su derecho a la tutela judicial efectiva (art. 24.1 CE) en relación con el derecho a la libertad (art. 17 CE) y con el derecho a legalidad penal (art. 25.1 CE), en tanto se denegó que el delito por el que fue condenado hubiera prescrito con argumentos carentes de respaldo en los hechos probados y en los preceptos legales que regulan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otorgue el amparo solicitado por vulneración de los derechos invocados, ya que el criterio interpretativo sostenido por el Tribunal Supremo —que supuso aplicar el régimen de la prescripción de las infracciones conexas a quien había sido condenado por delito imprudente junto a otras personas que participaron en forma dolosa en la ejecución del mismo delito— no puede entenderse amparado en la literalidad de la norma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de amparo se contrae a determinar si, como sostiene el demandante, con apoyo del Ministerio Fiscal, el Tribunal Supremo vulneró su derecho a la tutela judicial efectiva (art. 24.1 CE) en relación con los derechos a la libertad (art. 17 CE) y a la legalidad penal (art. 25.1 CE) al denegar su pretensión de prescripción del delito por el que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entendimiento de la figura de la prescripción acogido en la STC 157/1990, de 18 de octubre, la STC 63/2001, de 17 de marzo, fijó el canon de enjuiciamiento constitucional aplicable en el examen de las decisiones aplicativas de la prescripción del delito, y junto a las posteriores SSTC 63/2005, de 14 de marzo, y 29/2008, de 20 de febrero, diseñan el marco de la actual doctrina constitucional sobre la institución. Al respecto se ha pronunciado después este Tribunal en numerosas ocasiones (entre otras muchas, y por citar algunas recientes SSTC 32/2013, de 11 de febrero; 51/2016, de 14 de marzo, o 138/2016, de 18 de julio). Existe también un importante número de resoluciones que trasladan con las debidas peculiaridades la concepción constitucional sobre la prescripción del delito a la prescripción de la pena (por todas, SSTC 97/2010, de 15 de noviembre, y 81/2014, de 28 de mayo), de la que se ha ocupado más intensamente este Tribunal en los últimos tiempos (entre otras, SSTC 63/2015, de 13 de abril; 12/2016, de 1 de febrero, o 14/2016, de 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su dilatada vigencia, conviene recordar la doctrina constitucional sentada por este Tribunal acerca del alcance del control externo que puede ejercer sobre las resoluciones judiciales dictadas en materia de prescripción del delito, y hacerlo de la mano de la STC 37/2010, traída por el recurrente y que sintetiza la doctrina relativa a la prescripción de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apreciación en cada caso concreto de la prescripción como causa extintiva de la responsabilidad criminal es, en principio, una cuestión de legalidad que corresponde decidir a los tribunales ordinarios y que carece, por su propio contenido, de relevancia constitucional. No obstante, la aplicación de dicho instituto en el caso concreto puede ser objeto de examen constitucional en sede de amparo, porque la prescripción penal supone una autolimitación o renuncia del Estado al ius puniendi por el transcurso del tiempo, que encuentra también fundamento en principios y valores constitucionales, pues toma en consideración la función de la pena y la situación del presunto inculpado, su derecho a que no se dilate indebidamente la situación que supone la virtual amenaza de una sanción penal, con una justificación constitucional propia en el principio de seguridad jurídica (STC 37/2010, FJ 2; con cita de las SSTC 63/2005, de 14 de marzo, FJ 2; 29/2008, de 20 de febrero, FJ 7, y 79/2008, de 14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canon aplicable para proceder, en su caso, a la revisión de una decisión judicial sobre prescripción es el propio del artículo 24 CE, si bien, dada la trascendencia de los valores constitucionales en juego en la aplicación del Derecho penal, el estándar de las exigencias derivadas del deber de motivación es más riguroso en estos casos al afectar a los derechos fundamentales a la libertad y a la legalidad penal de quien invoca la causa extintiva de la responsabilidad penal (por todas, STC 63/2001, FJ 7). La decisión que desestima una pretensión de prescripción de una infracción penal debe contener un razonamiento expresivo de los elementos tomados en cuenta por el órgano judicial al interpretar las normas relativas a la institución —que, por otra parte, distan mucho de ser diáfanas—, en el entendimiento de que esa interpretación debe estar presidida por la ratio legis o fin de protección de dichas normas, de manera que no resultará suficiente un razonamiento exclusivamente atento a no sobrepasar los límites marcados por el tenor literal de los preceptos aplicables, sino que es exigible una argumentación axiológica que sea respetuosa con los fines perseguidos por el instituto de la prescripción penal (STC 37/2010, FJ 2, con cita de las SSTC 63/2005, de 14 de marzo, FJ 3; 29/2008, de 20 de febrero, FJ 7; 60/2008, de 26 de mayo, FJ 8; 79/2008, de 14 de julio, FJ 2, y 129/2008, de 27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los fines de la institución, este Tribunal tiene declarado que “el establecimiento de un plazo temporal para que el Estado pueda proceder a perseguir las infracciones penales persigue a su vez que no se produzca una latencia sine die de la amenaza penal que genere inseguridad en los ciudadanos respecto del calendario de exigencia de responsabilidad por hechos cometidos en un pasado más o menos remoto. Dicho con otras palabras, el plazo de prescripción toma en consideración la función de la pena y la situación del presunto inculpado, su derecho a que no se dilate indebidamente la situación que supone la virtual amenaza de una sanción penal, de manera que lo que la existencia de la prescripción penal supone es que la infracción penal tiene un plazo de vida, pasado el cual se extingue toda posibilidad de exigir responsabilidades por razón de su comisión. Pero también obedece a la esencia de la propia amenaza penal, que requiere ser actuada de forma seria, rápida y eficaz, a fin de lograr satisfacer las finalidades de prevención general y de prevención especial que se le atribuyen.” (STC 37/2010, FJ 2, con cita de las SSTC 63/2005, de 14 de marzo, FJ 4, y 79/2008, de 14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ya se señaló, el control constitucional se ciñe a verificar si la interpretación seguida por el órgano judicial se compadece con la esencia y fundamento de la prescripción y satisface la exigencia constitucional de que toda decisión judicial adoptada en esta materia manifieste un nexo de coherencia con la norma que le sirve de fundamento y con los fines que justifican la existencia de esa causa extintiva de la responsabilidad penal. Al respecto, el Tribunal ha tenido ocasión de precisar, de un lado, que, al estar en juego el derecho a la libertad sometido al principio de legalidad, la interpretación no puede exceder el tenor literal de los preceptos aplicables ni es admisible una interpretación restrictiva contra reo carente del necesario rigor en relación con el tenor literal de la norma que le sirve de fundamento y con los fines de la prescripción (STC 29/2008, de 20 de febrero, FFJJ 10 y 12, y 37/2010, FJ 5). De otro lado, en cuanto a la incidencia de los fines que justifican la existencia de la prescripción, ha especificado que “si constituye ‘una renuncia o autolimitación del Estado al ius puniendi’, que tiene como efecto no la prescripción de la acción penal para perseguir la infracción punitiva, sino la de esta misma, … la determinación de las previsiones legales aplicables sobre la prescripción han de ser las correspondientes no al título de imputación … sino a la infracción de la que resulta penalmente responsable, es decir, la infracción penal que hubiera cometido y por la que habría de ser condenado de no concurrir la prescripción como causa extintiva de la responsabilidad penal. De lo contrario, se haría recaer y soportar sobre la persona sometida a un proceso penal los plazos de prescripción correspondientes a una infracción penal que no habría cometido y de la que, por lo tanto, tampoco habría de ser responsable” (STC 37/2010,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aplicar los referidos parámetros de examen constitucional de la cuestión debatida, se impone un recordatorio de los hechos relevantes para tal decisión y algunas precisiones sobre la normativa concernida.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con mayor detalle en los antecedentes, los hechos probados refieren la existencia de un entramado organizado para blanquear los ingresos procedentes del narcotráfico al que se dedicaban algunos miembros del clan familiar, con la descripción de numerosas operaciones y actividades que alcanzan hasta el año 2011, en que se concluye la investigación policial, incoándose diligencias previas por el Juzgado de Instrucción núm. 1 de Sanlúcar la Mayor el 28 de junio de 2011. En ese relato, los hechos que conciernen al recurrente, cuyo papel en la estructura de lavado se juzga de testaferro, se ciñen a una concreta operación simulada de adquisición y posterior venta de una finca a una de las acusadas artífice de la estructura que se realizó entre el 2003 y el 2004, que se calificó en la instancia como autoría de un delito de blanqueo doloso y finalmente en casación como autoría de un delito de blanqueo imprudente del artículo 301.3 CP. La actuación del resto de acusados, todos los cuales mostraron conformidad en la instancia y reconocieron los hechos, fue calificada, salvo en un caso, como autoría de un delito de blanqueo de capitales doloso del artículo 301.1 CP, incluidas las diversas acciones atribuidas a la coacusada con la que realizó la transacción el ahora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normativa sobre prescripción concernida, debe tenerse presente que la redacción del artículo 131 CP vigente en el momento de los hechos que concretamente se atribuyen al recurrente, años 2003 y 2004, establecía, dentro del régimen general que fija el termino prescriptivo en función de la gravedad del delito determinada por la gravedad de la pena, un plazo de prescripción para el delito de blanqueo imprudente de tres años, mientras que el delito de blanqueo doloso tenía un plazo prescriptivo de diez años (art. 131.1 en relación con los arts. 301.1 y 301.3 CP, respectivamente). Por su parte, el artículo 132.1 CP disponía, como ahora, que “[l]os términos previstos en el artículo precedente [plazos] se computarán desde el día en que se haya cometido la infracción punible. En los casos de delito continuado, delito permanente, así como en las infracciones que exijan habitualidad, tales términos se computarán, respectivamente, desde el día en que se realizó la última infracción, desde que se eliminó la situación ilícita o desde que cesó la conducta”. No se contemplaba entonces una regla como la del actual artículo 131.4 CP (redacción fruto de la Ley Orgánica 1/2015, en vigor a partir del 1 de julio de 2015), introducida por primera vez como número 5 del artículo 131 CP por la Ley Orgánica 5/2010 (en vigor a partir del 23/12/2010), donde se fija como plazo de prescripción en los supuestos de concurso de infracciones o de infracciones conexas el que corresponda al delito más grave. Esa innovación normativa carece de reflejo en el debate procesal acaecido, cuyo objeto es determinar si puede afirmarse la extinción de la responsabilidad criminal del demandante por el delito de blanqueo imprudente conforme a las reglas sobre prescripción previstas al tiempo de suceder los hechos, esto es, en la redacción anterior a la reforma introducida por la Ley Orgánica 5/2010, que fue la que asimismo se aplicó para calificar los hechos en la instancia. En buena lógica, el precepto tampoco tiene reflejo en la motivación de la decisión judicial final denegatoria impugnada, que es la que corresponde revisar externamente en este proceso constitucional, lo que, por lo demás, está en consonancia con la tradicional posición del Tribunal Supremo de rechazar la aplicación retroactiva de las normas reguladoras de la prescripción salvo que su contenido sea favorable (por todas, STS 101/2012,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antes expuesta, de los hechos descritos y de la normativa concernida, deben examinarse los argumentos ofrecidos por el Tribunal Supremo para rechazar la prescripción del delito de blanqueo imprudente por el que se condenó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razonamiento ofrecido por el Tribunal Supremo para descartar la extinción de la responsabilidad criminal del recurrente por prescripción parte del presupuesto jurídico, derivado de una reiterada posición jurisprudencial de dicho órgano —hecha expresa en la resolución impugnada con cita de las STS 984/2013, de 17 de diciembre de 2013, 1 de febrero de 1999 y 26 de marzo de 2013 y del acuerdo Plenario de 26 de octubre de 2010— de que en los delitos conexos se tomará en consideración el delito más grave declarado cometido para fijar el plazo de prescripción del conjunto punitivo enjuiciado. A partir de esa premisa y ya desde una perspectiva fáctica, apela a la complejidad de la investigación, con implicación de numerosas personas y acciones, que impide considerar de forma separada a efectos de prescripción del episodio de la compraventa. La actuación del demandante tendría en realidad una extensión temporal mayor que el puntual negocio de compra y venta de la finca (años 2003 y 2004), pues se enmarca entre los años 2002 a 2010, como pone de manifiesto la mención en los hechos probados a que “también actúa como testaferro del grupo” y a que “en los hechos que van de 2002 a 2010, los únicos ingresos que le constan...”, afirmaciones que carecerían de sentido en relación con la operación aislada de 2004. De ahí concluye que el planteamiento del recurrente adolece del error de entender su conducta prescindiendo del hecho probado que incardina su actuación en la realizada por los otros acusados, singularmente en la conducta y el delito de la coacusada que intervino en dicha transacción, lo que determina la conexidad de delitos que obsta para la apreciación de la prescripción que se interesa tanto desde la perspectiva de que no puede considerarse aisladamente su conducta como desde el plano de la conexidad procesal con la que ha sido juzgado todo ese complejo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no controvierte en su demanda de amparo la posición jurisprudencial del Tribunal Supremo de que en los delitos conexos se tome en consideración para determinar el comienzo del cómputo del plazo de prescripción el conjunto punitivo enjuiciado. Alega que se ha vulnerado su derecho a la tutela judicial efectiva al haberse hecho aplicación de dicha jurisprudencia cuando el delito de blanqueo de capitales imprudente por el que ha sido condenado está desconectado del complejo de conductas desarrolladas por el resto de acusados y el entramado societario, quedando su intervención limitada a una operación puntual de compraventa, aislada en el tiempo en los años 2003 y 2004, sin que en los hechos probados se refiera cualquier otra actuación por su parte, como sí se recoge respecto a otros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externa de control que corresponde proyectar a este Tribunal en este tipo de procedimientos de amparo, bajo la invocación del deber reforzado de motivación de instituciones vinculadas a la libertad personal y a la legalidad penal, hay que concluir que el proceso argumental a partir del cual la resolución judicial impugnada concluye que el plazo de prescripción del delito cometido por el recurrente no habría prescrito, tal como alega el demandante y es defendido por el Ministerio Fiscal, incurre en una vulneración del derecho a la tutela judicial efectiva (art. 24.1 CE) en relación con los derechos a la libertad personal (art. 17.1 CE) y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hechos probados no existe referencia alguna a una actividad de blanqueo o a cualquier otra intervención por parte del demandante que trascienda la operación de compraventa finalizada en octubre de 2004, a diferencia de las múltiples actuaciones que se describen respecto a otros acusados. No puede ayudar a superar ese obstáculo el dato de que se mencione en el factum que se revisaron sus ingresos entre los años 2002 y 2010, pues es obvio que la apertura de una investigación patrimonial respecto a ese período y, como fue el caso, el resultado relativo a los escasos ingresos en el citado intervalo no es constitutivo de un ilícito penal de blanqueo ni de ningún otro. Y tampoco sostiene esa extensión de su participación en la trama su categorización como testaferro de la organización, a la que también recurre la Sala. El calificativo resulta quizá aplicable al demandante por su actuación de compra y venta de la finca, pero no supone un elemento definitorio del sujeto como autor del delito más allá de esa conducta en ausencia de ulteriores datos que acrediten una aportación posterior efectiva en la estructura de blanqueo, en calidad de testaferro o en otra. Incluso el razonamiento del órgano judicial en el que se sostiene la calificación de su conducta como delito imprudente se opone a la idea de que fuera testaferro de la organización y blanqueara ingresos del clan durante ocho años. Allí el debate sobre el carácter doloso o imprudente de su actuación se identifica con la acreditación del conocimiento, las dudas fundadas o solo la ignorancia superable por parte del recurrente acerca del origen ilícito del dinero con que se financió la adquisición y venta de la finca, como asimismo se debatió en la primera instancia, sin atender a intervención posterior alguna del demandante en los múltiples hechos y operaciones mercantiles dirigidas a blanquear las ganancias ilícitas. En suma, el argumento que apela a la existencia de una actuación delictiva temporalmente extendida por parte del recurrente es irrazonable, ya que lo es la interpretación de los hechos probados en que se asienta, y, en tal medida, resulta constitucionalmente censurable.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íntima relación con esa imposibilidad de construir la conexión que funda el rechazo de la prescripción a partir de los hechos probados opera el dato de que la conducta del recurrente está delimitada de forma objetiva y subjetiva y constituya de forma autónoma un delito de blanqueo imprudente ya perfeccionado, al margen de la calificación de la conducta de la otra acusada para quien compró la finca y del hecho de que se trate de dos conductas que convergen en el resultado material de blanqueo. La consideración como un solo delito a efectos de prescripción de tipos delictivos tan claramente diferenciados como los concurrentes en el caso excede el más directo significado gramatical de los preceptos legales aplicados (arts. 131.1 y 132.1 CP), que disponen la extinción del delito en tanto transcurra el término prescriptivo señalado en función de su gravedad y no por la gravedad de otro delito coetáneo cometido por otra persona que está subjetivamente desconectado. Por ello, como también aprecia el Ministerio Fiscal en sus alegaciones, hay que afirmar que en este caso se ha hecho una aplicación del instituto de la prescripción irrazonable, que al estar incursa en un defecto de motivación con relevancia constitucional, debe llevar a apreciar la vulneración del artículo 24.1 CE en relación con los derechos a la libertad (art. 17.1 CE) y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y el otorgamiento del amparo por la mencionada vulneración conducen a anular la resolución recurrida y a retrotraer las actuaciones, a fin de que sean los órganos de la jurisdicción ordinaria quienes se pronuncien, de forma respetuosa con el derecho fundamental, respecto a la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César Rodríguez Vázquez.</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del recurrente en amparo a la tutela judicial efectiva sin indefensión (art. 24.1 CE) en relación con el derecho a la libertad (art. 17.1 CE) y con el derecho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anular el Auto de la Sala Segunda del Tribunal Supremo de 21 de julio de 2016, dictado en el recurso de casación núm. 601-2015, retrotrayendo las actuaciones al momento anterior a su pronunciamiento a fin de que se dicte otra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marzo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amparo núm. 5685-2016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el fallo de esta, que considero hubiera debido ser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sin controvertir la posición jurisprudencial del Tribunal Supremo de que en los delitos conexos se tome en consideración para determinar el comienzo del cómputo del plazo de prescripción el conjunto punitivo enjuiciado, ha concluido que la resolución impugnada ha vulnerado el derecho del artículo 24.1 CE, en relación con los derechos a la libertad (art. 17.1 CE) y a la legalidad penal (art. 25.1 CE), por la concreta aplicación que de dicha doctrina se ha hecho respecto de la conducta del recurrente. El argumento esencial ha sido que los hechos probados no refieren ninguna intervención por parte del demandante que trascienda la operación de compraventa finalizada en octubre de 2004, por lo que resulta irrazonable la afirmación de que existe una actuación delictiva temporalmente extendida por parte del recurrente, al carecer de base fáctica.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compartir ese argumento de la ausencia de base fáctica del razonamiento judicial. La resolución impugnada, como también se reconoce por parte de la opinión mayoritaria en la que se sustenta la Sentencia, expuso que si bien la conducta por la que fue condenado el recurrente se refiere a una determinada operación de compra y sucesiva venta de una finca que se desarrolló en 2004, (i) su conducta se enmarca en una compleja investigación en la que han resultado condenadas siete personas y disueltas ocho sociedades mercantiles y que aparece referida a hechos que se desarrollan entre los años 2002 a 2010; y (ii) en los hechos probados de la Sentencia de instancia se pone de manifiesto su carácter de testaferro del grupo Fermache y se menciona la circunstancia de la inexistencia de ingresos en los años objeto de investigación 2002 a 2010, lo que serían afirmaciones que carecerían de sentido en relación con la operación aislada de 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 perspectiva externa de control que corresponde proyecta a este Tribunal en este tipo de procedimientos de amparo bajo la invocación del deber reforzado de motivación de instituciones vinculadas a la libertad personal, no cabe considerar incurso en ningún defecto constitucional de motivación el citado razonamiento, ya que toma como presupuesto elementos y valoraciones fácticas contenidas en el apartado de hechos probados de la sentencia de instancia, que han quedado invariados en la de casación, sobre las que este Tribunal Constitucional no puede entrar a conocer por prohibirlo el artículo 44.1 b) de la Ley Orgánica del Tribunal Constitucional. De ese modo, más allá de las legítimas discrepancias que puedan expresarse en relación con la valoración efectuada por el órgano judicial sobre el carácter extendido de la participación del recurrente en todo el complejo de hechos enjuiciados, que quedan al margen del control de constitucionalidad, no puede apreciarse que la argumentación judicial responda a parámetros que resulten groseramente ilógicos por carecer de base fáctica.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es la razón por la que considero que debía haberse desestimado 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marzo de dos mil dieciocho.-Juan Antonio Xiol Ríos.-Firmado y rubricado.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