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24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5051-2017, promovida por la Sección Primera de la Sala de lo Contencioso-Administrativo del Tribunal Superior de Justicia de Aragón sobre el apartado b) de la disposición adicional segunda de la Ley 4/2013, de 4 de junio, de medidas de flexibilización y fomento del mercado del alquiler de viviendas. Ha comparecido y formulado alegaciones el Abogado del Estado. Ha intervenido el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octubre de 2017 tuvo entrada en el registro general de este Tribunal un oficio de la Sección Primera de la Sala de lo Contencioso-Administrativo del Tribunal Superior de Justicia de Aragón, al que se acompaña, junto con el testimonio del procedimiento núm. 28-2015 que se tramita ante dicho Tribunal, el Auto de 13 de septiembre de 2017, por el que se acuerda plantear cuestión de inconstitucionalidad respecto del apartado b) de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el proceso a quo, don A.S.P., solicitó ante el Departamento de Obras Públicas, Urbanismo, Vivienda y Transporte del Gobierno de Aragón diversas ayudas para la adquisición de una vivienda protegida de nueva construcción que aparecían reguladas en el Real Decreto 2066/2008, de 12 diciembre: entre otras, un préstamo convenido y una ayuda estatal directa a la entrada. Con fecha 21 de noviembre de 2012 se le reconoció por resolución del Director General de Vivienda y Rehabilitación del Departamento de Vivienda del Gobierno de Aragón, tanto el derecho a la obtención de un préstamo convenido para la adquisición de vivienda protegida, como el derecho a la ayuda estatal directa a la entrada consistente en el abono de 9.600 €.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posterioridad, en fecha 12 de julio de 2013, la Dirección General de Arquitectura, Vivienda y Suelo del Ministerio de Fomento resolvió dar conformidad al préstamo convenido y no darla al abono de la ayuda estatal directa, al no cumplirse lo establecido en la disposición adicional segunda de la Ley 4/2013,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2 de agosto de 2013, dentro del plazo previsto en la disposición adicional 2 b) de la Ley 4/2013, se firmó escritura de adjudicación y subrogación en el préstamo convenido de que respondía la vivienda financiada con la entidad Caja Laboral Cooperativa de Crédito, entidad colaboradora.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A.S.P. formuló, en fecha 4 de marzo de 2014, una reclamación para que le fuera abonada la suma correspondiente a la ayuda estatal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Dirección General de Vivienda y Rehabilitación del Gobierno de Aragón respondió en fecha de 22 de octubre de 2014 indicando que su resolución de 2012 había devenido firme y consentida y, por ello, se entendían cumplimentados los requisitos necesarios para el acceso a la financiación solicitada, siendo el Ministerio de Fomento el competente para el abono de las ayudas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anterior solicitud el Ministerio de Fomento nada ha contestado formalmente al recurrente, como ninguna respuesta han merecido tampoco los recursos de alzada interpuestos con posterioridad frente a tales desestimaciones, expresa en un caso y presunta en otro. Don A.S.P. presentó recurso contencioso-administrativo frente a la desestimación presunta del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Una vez finalizada la tramitación del recurso, la Sección Primera de la Sala de lo Contencioso-Administrativo del Tribunal Superior de Justicia de Aragón dictó providencia de 2 de mayo de 2017 por la que dio traslado a las partes y al Ministerio Fiscal para que, de conformidad con el artículo 35 de la Ley Orgánica del Tribunal Constitucional (LOTC), en relación con el artículo 163 CE, alegaran lo que entendieran procedente sobre la pertinencia del planteamiento de cuestión de inconstitucionalidad de la disposición adicional 2 b) de la Ley 4/2013, de 4 de julio, por posible vulneración del artículo 9.3, en relación con los artículos 47 y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Evacuado el trámite conferido, la parte actora solicitó que fuera promovida la cuestión de inconstitucionalidad. El Ministerio Fiscal alegó que concurrían los iniciales requisitos legales y procesales exigidos para el planteamiento y la Abogada del Estado y la Letrada del Gobierno de Aragón se opusieron al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Auto de 13 de septiembre de 2017 la Sección Primera de la Sala de lo Contencioso-Administrativo del Tribunal Superior de Justicia de Aragón acordó plantear ante el Tribunal Constitucional cuestión de inconstitucionalidad en relación con el apartado b) de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esta cuestión de inconstitucionalidad realiza diversas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expone el régimen jurídico y la evolución de la ayuda estatal directa. Estos son, en síntesis, los aspectos que destaca en sus primeras consideraciones para justificar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Real Decreto 2066/2008, de 12 de diciembre, estableció el régimen jurídico de diversas ayudas a la adquisición de vivienda protegida, entre las que se encontraba la ayuda estatal directa, contemplada en los artículos 13, 15 y 44. El órgano judicial deduce de dichas disposiciones que la ayuda estatal directa a la entrada es una ayuda que se reconoce en un único acto, y se abona en un solo pago, diferido al previo reconocimiento del derecho a obtener el préstamo convenido, derecho cuyo reconocimiento precisa la previa conformidad del Ministerio de Vivienda (luego de Fomento) con anterioridad a una fecha (31 de diciembre de 2012). En definitiva, el requisito de previa conformidad del Ministerio de la Vivienda solo se contemplaba en la normativa reguladora de este tipo de ayudas respecto a los préstamos convenidos, a los cuales se condiciona y vincula la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Real Decreto 1713/2010, de 17 de diciembre, por el que se modifica el Real Decreto 2066/2008, suprime la ayuda estatal directa a la entrada, si bien mantiene determinadas situaciones anteriores a su entrada en vigor (disposición transitoria primera, apartados cuarto y quinto). Así, si se cumplían los requisitos previstos en la disposición transitoria primera, apartado cuarto, del Real Decreto 1713/2010, se permitía la subsistencia del régimen de la ayuda estatal directa a la entrada contenido en los artículos 13, 15 y 44 del Real Decreto 2066/2008. En ninguno de estos preceptos se establece como requisito o presupuesto para el reconocimiento como derecho de esta subvención la previa conformidad expresa del Ministerio de la Vivienda (luego de Fomento). Tal presupuesto solo está presente en las cláusulas tercera y quinta del convenio tipo entre el Ministerio de la Vivienda y las entidades colaboradoras, contenido en la Orden VIV/1290/2009, de 20 de mayo. En definitiva, es el préstamo convenido y no la ayuda estatal directa a la entrada vinculada al mismo lo que está condicionado a previa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 la letra b) de la disposición adicional segunda de la Ley 4/2013 la que, para la obtención de la ayuda estatal directa a la entrada, exige por primera vez la conformidad expresa del Ministerio de Fomento a la entrada en vigor de dicha Ley, y que el beneficiario formalice el préstamo en un plazo de dos meses desde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consecuencia, el incumplimiento del requisito de la letra b) de la disposición adicional segunda de la Ley 4/2013 sería la razón de la negativa al abono de la mencionada ayuda reconocida por la resolución de 21 de noviembre de 2012, por lo que se desprende del contenido de la contestación a la demanda formulada por la Abogacía del Estado. En efecto, la solicitante, pese a cumplir los presupuestos que para la subsistencia de la subvención exigía el Real Decreto 1713/2010, de 17 de diciembre, y pese a haber firmado escritura de propiedad de la vivienda adquirida, no cumplía el primero de los requisitos en cuestión, esto es, no tenía reconocida conformidad del Ministerio de Vivienda a su ayuda antes del 6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el órgano judicial deduce que la aplicación de la disposición adicional segunda conlleva la denegación del abono y que, por tanto, su ajuste constitucional deviene decisivo para el fallo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antes de concretar su duda de constitucionalidad, realiza otras dos consideraciones previas. Por un lado, expone la doctrina constitucional sobre el principio de seguridad jurídica, en sus vertientes de prohibición de retroactividad de disposiciones sancionadoras o restrictivas de derechos y de protección del principio de confianza legítima (SSTC 197/1992, de 19 de noviembre, y 270/2015, de 17 de diciembre, así como específicamente respecto a leyes tributarias, STC 102/2015, de 26 de mayo). Por otro lado, señala que el Tribunal Constitucional se pronunció en las SSTC 216/2015, de 22 de octubre, y 268/2015, de 14 de diciembre, sobre lo previsto en la letra a) de la disposición adicional segunda de la Ley 4/2013, en las que básicamente descartó que las ampliaciones de subsidiación de préstamos convenidos fueran derechos consolidados y, en consecuencia, rechazó que hubiera lesión del principio de irretroactividad consagrado en el artículo 9.3 CE y de la pretendida vulneración del artículo 33.3 CE. Sin embargo, considera que no es posible extender dicha doctrina a los supuestos de ayuda estatal directa a la entrada, sobre la que no se pronunciaron aquellas sentencias desde una perspectiva sustantiva (sí, en relación con el vicio procedimental que afectaría por igual a toda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Auto de planteamiento atribuye al precepto legal cuestionado los siguientes vicios potenciales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irretroactividad de disposición restrictiva (art. 9.3 CE) de un derecho ya consolidado, si bien que no efectivo. Considera que, a diferencia de lo que sucede con la subsidiación de préstamos convenidos [letra a) de la disposición cuestionada], la ayuda estatal directa a la entrada se adquiere desde el momento del reconocimiento, por lo que la introducción de un nuevo requisito, no previsto previamente, podría determinar la aplicación retroactiva de una disposición desfavorable y restrictiva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seguridad jurídica (art. 9.3 CE) en su vertiente de confianza legítima. Al respecto, señala que el beneficiario cumplió todos los requisitos exigidos por la normativa reguladora, afrontó una inversión y actuación económica prolongada en el tiempo, no siendo razonablemente previsible que, tras la supresión de las ayudas con la excepción favorable a la solicitante introducida en el Real Decreto 1713/2010, se introdujera un presupuesto que determinaría, por la propia dinámica del régimen jurídico aplicable al caso, la imposibilidad de percepción de una ayuda que ya tenía reconocida. Además, la Ley 4/2013 no ofrece razón alguna, en su exposición de motivos, para la modificación introducida, que supone una reforma adicional a la de 2010. Por último, la modificación no es proporcionada a la finalidad de la reforma de 2013, que sería, según su preámbulo, “flexibilizar el mercado de alquiler para lograr la necesaria dinamización del mismo”. Pues bien, la dinamización del mercado del alquiler no exigía la supresión del régimen transitorio de concesión de ayudas a la adquisición de vivienda protegida, más cuando quienes se acogieron al mismo ya tenían resolución administrativa que les reconocía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que, así las cosas, el beneficiario había ganado el derecho a la continuación del procedimiento y a la efectividad de las ayudas ya concedidas, conforme al régimen transitorio contenido en el Real Decreto 1713/2010. Con la reforma cuya constitucionalidad se cuestiona, afirma el órgano judicial, el legislador “quiebra la previsibilidad de las consecuencias de la propia conducta” (STC 122/2016, de 23 de junio). A este respecto, se reproduce un fragmento del voto particular formulado a la STC 216/2015.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principio de interdicción de la arbitrariedad de los poderes públicos (art. 9.3 CE). Se afirma que, examinado el preámbulo de la Ley 4/2013, no se percibe concreto objetivo justificador de la medida adoptada en el concreto punto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diciembre de 2017, el Pleno del Tribunal Constitucional, a propuesta de la Sección Cuarta, acordó admitir a trámite la cuestión, acordó, de conformidad con lo dispuesto en el artículo 10.1 c) de la Ley Orgánica del Tribunal Constitucional, en la redacción dada por la Ley Orgánica 6/2007, de 24 de mayo, deferir el conocimiento del presente recurso a la Sala Segunda, a la que, por turno objetivo, le había correspondido y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comunicar dicha resolución a la Sección Primera de la Sala de lo Contencioso-Administrativo del Tribunal Superior de Justicia de Aragón, con sede en Zaragoza, a fin de que, de conformidad con lo dispuesto en el artículo 35.3 LOTC, permaneciera suspendido el proceso hasta que este Tribunal resolviera definitivamente la presente cuestión, así como publicar la incoación de la cuestión en el “Boletín Oficial del Estado” (publicación que se efectuó 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22 de diciembre de 2017 tuvo entrada en este Tribunal escrito de la Sra. Presidenta del Congreso de los Diputados por el que pone en su conocimiento el acuerdo de la Mesa de la Cámara de personación en el procedimiento y de ofrecimiento de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con fecha 9 de enero de 2018, el Abogado del Estado solicitó la desestimación de la cuestión, en atención a las razones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se basa en que el precepto cuestionado establece un requisito legal previo al abono no previsto con anterioridad, como sería la previa autorización del Ministerio de Fomento al abono en sí de la ayuda estatal directa a la entrada. Es decir, no ya la autorización de dicho Departamento ministerial a la concesión del préstamo convenido por la entidad de crédito, respecto de lo que no cabría duda alguna, pues la normativa anterior había establecido esa necesidad, sino la autorización respecto del abono de la ayuda. Para el órgano judicial, el problema de la pretendida inconstitucionalidad por retroactividad de la norma contraria a los artículos 9.3 y 33 CE consistiría en la exigencia del requisito de autorización, por un órgano estatal, hoy el Ministerio de Fomento, para el pago de la ayuda directa a la entrada: requisito que al exigirse supuestamente por primera vez y con efecto retroactivo, se trataría de un caso de retroactividad máxima, que incidiría sobre derechos subjetivos ya generados y perfeccionados bajo la normativa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Abogado del Estado rechaza el planteamiento de la Sección promotora de la cuestión arguyendo que, en el presente caso, no existe un supuesto de irretroactividad de grado máximo. Señala que el requisito de la autorización o conformidad por parte del Ministerio de Fomento, previsto en la norma, constituye un requisito también para el pago de la ayuda. No es solo un requisito para la concesión del préstamo convenido, sino algo requerido de manera constitutiva para su pago, y que ya preveía la normativa anterior: esto es, conforme al régimen jurídico existente desde de la entrada en vigor del Real Decreto 2066/2008, 12 de diciembre, por el que se regulaba el plan estatal de vivienda y rehabilitación 2009-2012 y, por lo tanto, antes del Real Decreto 1713/2010, de 17 de diciembre, que, modificando el anterior, suprimió la ayuda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Admite que, ciertamente, la exigencia de autorización o conformidad ministerial no se prevé de manera explícita en la norma que suprimió la ayuda directa a la entrada: supresión efectuada por el Real Decreto 1713/2010, de 17 de diciembre, mediante su artículo único.7. Y, por su parte, la disposición transitoria primera de dicha norma reglamentaria, en su apartado cuarto, en el que se regula este aspecto de derecho transitorio, no menciona la autorización sino sólo la obligación de notificación al Ministerio de Fomento, como autoridad pública competente en la materia en el momento de la entrada en vigor de dicho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decisivo, a juicio del Abogado del Estado, es que, en ejecución o desarrollo normativo del Real Decreto 2066/2008, de 12 de diciembre, de creación de la ayuda, la Orden Ministerial VIV/1290/2009, de 20 de mayo, había establecido el contenido detallado de su régimen jurídico al aprobar el denominado convenio tipo entre el Ministerio de la Vivienda y las entidades colaboradoras, incorporándolo a un anexo de dicha Orden. La cláusula tercera del citado convenio prevé lo siguiente en cuanto a las obligaciones del Ministerio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Dar conformidad a las concesiones de préstamos y al abono de la AEDE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conformidad se manifestará expresamente en el plazo de 20 días desde la recepción de las comunicaciones de la Entidad de Crédito. A los 20 días de la recepción se entenderá dada tácitamente la conformidad, excepto la correspondiente al abono de la AEDE, que se dará de forma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cláusula quinta se regulan los requisitos para el abono de las cantidades, tanto de los préstamos como de la ayuda estatal directa a la entrada, distinguiendo ambas categorías de abonos de manera separada. Así, en el apartado tercero de la cláusula quinta establece los requisitos para el abono de la subsidiación de los préstamos: “serán necesarios, con carácter previo al abono, el reconocimiento de la Comunidad Autónoma del derecho a la subsidiación, la obtención del préstamo convenido, y la conformidad del Ministerio de Vivienda, según se expone en el apartado 1 de la cláusula tercera”. Y en el apartado cuarto: “serán necesarios, con carácter previo al abono, el reconocimiento de la Comunidad Autónoma del derecho a la AEDE, la obtención del préstamo convenido, y la conformidad expresa del Ministerio de Vivienda”. En el mismo apartado se prevé que, si el reconocimiento del derecho a la ayuda estatal directa a la entrada por la Comunidad Autónoma fuese posterior a la formalización del préstamo con la entidad de crédito, se remitirá al Ministerio de Vivienda la resolución de la Comunidad Autónoma, como requisito previo a la conformidad del citado Ministerio al desembolso de la ayuda estatal directa a la entrada. En definitiva, concluye el Abogado del Estado, el acto de autorización por parte del Ministerio correspondiente de manera específica al abono de la ayuda estatal directa a la entrada, sí estaba prevista como requisito de validez en la normativa anterior a su suspensión, a la que habían de ajustarse, necesariamente, los potenciales solicitantes de la ayuda estatal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Orden Ministerial referida viene a dar publicidad a un convenio entre partes (las entidades de crédito concedentes y las Administraciones públicas, entre ellas el Ministerio competente), supone algo más que esa publicidad: supone también —señala el Abogado del Estado— la expresión de la voluntad de aprobar el régimen sustantivo y darle conocimiento, de modo que los potenciales beneficiarios de las ayudas puedan acudir, para su seguridad jurídica, a dicha ordenación de derecho objetivo; ordenación que no podría modificarse por la sola voluntad de las partes intervinientes, sino que precisaría la concurrencia de la voluntad de la Administración ordenante, aprobatoria, conforme a su criterio o política legislativa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recalca el Abogado del Estado, la conclusión que se extrae es la contraria a la que deduce el Auto de planteamiento: si el requisito estaba previsto antes de la entrada en vigor de la norma que suprime la ayuda estatal directa a la entrada, entonces la disposición transitoria primera.5 del Real Decreto 1713/2010 que exigía que se hubiera obtenido esa autorización con anterioridad a la entrada en vigor de la supresión, no se está creando un nuevo requisito con eficacia hacia el pasado, incidiendo en la relación jurídica anterior, en el sentido de requerir el cumplimiento de una exigencia que con anterioridad no se habría interesado. Al contrario, según refiere el Abogado del Estado, al regular las condiciones legales que ha de reunir la pervivencia de cara al futuro de la ayuda suprimida, la norma transitoria exige que se hubieran cumplido ya todos los requisitos legales establecidos conforme a la normativa anterior, que se deroga, entre ellos, el de la autorización del Ministerio. Si esa autorización no estaba otorgada antes de la entrada en vigor de la supresión —antes de la entrada en vigor del Real Decreto 1713/2010—, no se habría consolidado el derecho, y no habría surgido el derecho a la obtención de la ayuda. El supuesto sería igual al que enjuiciaron las SSTC 216/2015, de 22 de octubre, y 268/2015,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no reuniendo la situación de hecho todos los requisitos que la legislación anterior exigía, la norma transitoria, controvertida por la Sección promotora de la cuestión, que de cara al futuro exige la justificación del requisito ya previsto en la normativa derogada, no priva de derechos subjetivos e intereses legítimos de carácter patrimonial alguno, supuestamente incorporados al patrimonio jurídico de los solicitantes-beneficiarios de las ayudas y, por tanto, no resulta aplicable la protección constitucional que contempla el artículo 33.3 CE. Es decir, ya bajo la aplicación de la normativa anterior era precisa la autorización material para obtener la ayuda; si esa autorización no estaba emitida, la ayuda no pudo incorporarse al patrimonio jurídico del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29 de enero de 2018 el Fiscal General del Estado formuló alegaciones, en las cuales solicitó la desestimación de la cuestión planteada y subrayó que la absoluta identidad entre la presente cuestión y la tramitada con el núm. 4952-2017 hace que las alegaciones realizadas en aquella ocasión deban ser reproducidas en el presente proceso. En este sentido, el Fiscal pone de relieve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razona que el planteamiento que hace la Sección promotora de la cuestión de inconstitucionalidad no se corresponde con la naturaleza y el régimen jurídico de este tipo de ayudas financieras para facilitar el pago de la parte del precio no financiada por el préstamo convenido (ayudas estatales directas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como se puso de manifiesto en el proceso de origen por la Diputación General de Aragón y la Abogacía del Estado, en el marco de la colaboración institucional entre la administración del Estado y las administraciones autonómicas para la ejecución de los planes estatales de vivienda y rehabilitación, la competencia que corresponde a los órganos correspondientes de las Comunidades Autónomas es la de verificar si los interesados cumplen, en cada caso, los requisitos establecidos para la obtención de las ayudas (art. 13.2 del Real Decreto 2066/2008, que establece el régimen jurídico del plan estatal de la vivienda y rehabilitación 2009-2012; en el mismo sentido, disposición cuarta del convenio de colaboración suscrito entre la Comunidad Autónoma de Aragón y el Ministerio de la Vivienda para la ejecución de dicho plan, publicado por Orden de 11 de mayo de 2009, del Vicepresidente de Aragón). De lo anterior deduce que las resoluciones dictadas por los órganos competentes de las comunidades autónomas, en el marco de la colaboración institucional con la administración estatal, que reconocen el cumplimiento de los requisitos establecidos en cada caso para acceder a las ayudas financieras, no otorgan al sujeto respecto del que se reconoce que reúne los requisitos que le habilitan para acceder a las ayudas, un derecho efectivo que pueda hacer valer frente a la Administración estatal, que es la que, efectivamente, debe satisfacer las ayudas con cargo a los presupuestos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efectiva obtención de la ayuda estatal a la entrada a la vivienda no es un acto reglado, a partir de la comprobación por la Administración autonómica de que se cumplen los requisitos que habilitan para acceder a las ayudas. Y se refiere a este respecto al fundamento jurídico 8 de la STC 216/2015, con relación a las ayudas de subsidiación de préstamos: el mismo tipo de expresión (“podrán reconocerse”, “podrán obtenerse”) se utiliza también con respecto a las ayudas estatales directas a la entrada de las viviendas protegidas en la normativa aplicable con anterioridad a la Ley 4/2013 (disposición transitoria quinta.2 del Real Decreto 2066/2008 y disposición transitoria primera.4 del Real Decreto 1713/2010). En suma, estas ayudas no se conceden en un solo y único acto constituido por la resolución del órgano competente de la respectiva Comunidad Autónoma, por lo que no cabe considerar que el precepto cuestionado despliegue efectos respecto de situaciones jurídicas que estaban ya consumadas, restringiendo derechos ya adquiridos e incorporados al patrimonio del beneficiario de la ayuda directa a la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el análisis de la denuncia de vulneración del principio de irretroactividad de las disposiciones restrictivas de derechos que establece el artículo 9.3 CE, se afirma que en la jurisprudencia constitucional la interdicción de la retroactividad sólo tiene un carácter absoluto respecto de la retroactividad denominada propia o auténtica (STC 112/2006, FJ 17). En el presente caso, los nuevos requisitos que introduce el apartado b) de la disposición adicional segunda de la Ley 4/2013, para poder obtener a partir de su entrada en vigor las ayudas estatales directas a la entrada, que subsistan de conformidad con la disposición transitoria primera del Real Decreto 1713/2010, no afectan retroactivamente a situaciones jurídicas consolidadas o consumadas, incidiendo en los efectos jurídicos ya producidos por las mismas. En efecto, la resolución del órgano competente autonómico que verifica la concurrencia de los requisitos para obtener la ayuda estatal directa no da lugar a una situación jurídica consolidada y agotada, pues la obtención efectiva de la ayuda quedaba supeditada a otros condicionantes, como la conformidad del Ministerio de Vivienda al préstamo convenido y la formalización de las escrituras de compraventa y de constitución de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supuesta restricción de derechos individuales afectados no sería la de derechos o libertades fundamentales, sino que estaría referida a las financiaciones que el Estado concedía, dentro de una política de favorecimiento del derecho a la adquisición de la vivienda. El artículo 47 CE no otorga un derecho subjetivo, sino un mandato que debe inspirar la actuación de los poderes públicos, para posibilitar la efectividad del derecho a disfrutar una vivienda digna. Entre las actuaciones posibles de los poderes públicos se encuentran las ayudas públicas reguladas en los sucesivos planes estatales de la vivienda. La interpretación de la expresión “restrictivas de derechos individuales” se recoge en la STC 49/2015,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considera trasladable lo resuelto en las SSTC 216/2015 (FFJJ 7-8), 267/2015 y 268/2015 (FJ 3) sobre la constitucionalidad del apartado a) de la disposición adicional segunda de la Ley 4/2013, en relación con el principio de interdicción de la retroactividad de las disposiciones restrictivas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 la posible vulneración del principio de seguridad jurídica del artículo 9.3 CE en su vertiente de confianza legítima, la jurisprudencia constitucional ha puesto de manifiesto su estrecha vinculación con el principio de irretroactividad de normas desfavorables, así como que dicho principio no debe ser entendido como garantía de inmovilidad del ordenamiento jurídico, debiendo el control de constitucionalidad estar a las circunstancias concretas de cada caso (STC 181/2016, FJ 4). Y en relación con el objeto de la cuestión, señala que en el presente caso no hay retroactividad propia o auténtica, sino una situación jurídica actual no terminada, sobre cuya proyección futura incide la norma posterior. De los propios argumentos ofrecidos por la Sección promotora en su Auto se desprende que la confianza legítima invocada como vulnerada no tenía sustento en concretas decisiones o actos del poder público que permitieran a la recurrente deducir, razonablemente, una estabilidad del régimen normativo vigente, en base al cual podría ser de futuro beneficiaria de la ayuda financiera y adoptar la decisión económica de inversión. Lejos de considerar imprevisible un adicional cambio normativo, la Sala vendría a reconocer que el cambio normativo se produce en un contexto de crisis económica mantenida que ya había motivado anteriormente restricciones y supresiones de las ayudas financieras que inicialmente se establecían en el plan estatal de rehabilitación y vivienda 2009-2012. Además, el Fiscal General del Estado trae a consideración la doctrina establecida por el Tribunal Constitucional ante otros supuestos de la misma situación de crisis económica (STC 270/2015, FJ 7, ratificada por las SSTC 19/2016, 29/2016, 30/2016, 42/2016 y 61/2016).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cuanto a la posible vulneración del principio de interdicción de la arbitrariedad de los poderes públicos del artículo 9.3 CE, se señala que la falta de indicación expresa por el legislador de la finalidad de una determinada regulación normativa en el preámbulo de las leyes no es indicativo de arbitrariedad (STC 49/2008) y que, en el presente caso, el nuevo requisito que establece el precepto cuestionado tampoco carece de toda explicación racional que permita conocer su objetivo legítimo. A este respecto acude al contenido de los preámbulos del Real Decreto 1713/2010 y del Real Decreto-ley 20/2012 y afirma que de dichos precedentes legislativos es posible deducir que la nueva limitación que viene a establecer el precepto cuestionado responde a la necesidad de mantener la estabilidad presupuestaria y el déficit en un contexto, el de 2013, de mantenimiento de la crisis económica, teniendo en cuenta que las ayudas a la entrada se abonan con cargo a los presupuestos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7 de febrero de 2018 tuvo entrada en este Tribunal escrito del Sr. Presidente del Senado por el que pone en su conocimiento el acuerdo de la Mesa de la Cámara de personación en el procedimiento y de ofrecimiento de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a propuesta de su Presidente, mediante providencia de 10 de mayo de 2018, acordó, de conformidad con el artículo 10.1 n) LOTC, recabar para sí el conocimiento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mayo de 2018,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Primera de la Sala de lo Contencioso-Administrativo del Tribunal Superior de Justicia de Aragón plantea cuestión de inconstitucionalidad sobre el apartado b) de la disposición adicional segunda de la Ley 4/2013, de 4 de junio, de medidas de flexibilización y fomento del mercado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apartado b)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Estatales Directas a la Entrada que subsisten conforme a la disposición transitoria primera del Real Decreto 1713/2010, de 17 de diciembre, sólo podrán obtenerse cuando cuenten con la conformidad expresa del Ministerio de Fomento a la entrada en vigor de esta Ley, y siempre que el beneficiario formalice el préstamo en un plazo de dos meses desde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el mencionado precepto vulnera tres principios constitucionales, todos ellos consagrados en el artículo 9.3 CE: el principio de irretroactividad de las disposiciones restrictivas de derechos individuales, el principio de seguridad jurídica en su vertiente de confianza legítima, y el principio de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tanto el Abogado del Estado como el Fiscal General del Estado interesan la desestimación de la cuestión, por entender que no concurren las vulneraciones constitucionales apreciadas por el órgano judicial, si bien emplean para ello argumentos no coincidentes. El primero considera que la exigencia de conformidad expresa por el Ministerio de Fomento, que contiene el precepto cuestionado, no se impone, en realidad, con carácter retroactivo, entendiendo que ya estaba previsto en las cláusulas del convenio tipo entre el Ministerio de Vivienda y las entidades colaboradoras, publicado como anexo a la Orden Ministerial VIV/1290/2009. El segundo parte de la premisa de que el acto de reconocimiento de la ayuda no otorga un derecho efectivo que se pueda hacer valer frente a la Administración estatal y, desde esta perspectiva, niega que la imposición retroactiva de la exigencia de conformidad expresa por el Ministerio de Fomento incurra en las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formulada, la presente cuestión de inconstitucionalidad es idéntica a la registrada en este Tribunal con el núm. 4952-2017, planteada por el mismo órgano jurisdiccional en relación con el mismo precepto legal y por los mismos motivos, y que ha sido recientemente resuelta por el Pleno de este Tribunal en la STC 51/2018, de 10 de mayo. Por lo tanto, lo decidido en esta Sentencia es de plena aplicación a este nuevo proceso con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STC 51/2018 ha desestimado las impugnaciones que fueron formuladas en aquel proceso constitucional, que coinciden con las suscitadas en la presente cuestión. La Sala de instancia ha planteado la cuestión en términos idénticos, lo ha hecho con referencia al mismo precepto legal y ha apoyado su fundamentación en los mismos argumentos, por lo que, a la vista de esta coincidencia objetiva, de acuerdo con la doctrina constitucional [SSTC 172/1998, de 23 de julio, FJ 2, y 111/2016, FJ 2 c)], habremos de llegar a la misma decisión, con apoyo en los razonamientos jurídicos que se expusieron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 presente cuestión por remisión in toto a lo razonado en la referida STC 51/2018, de 10 de mayo.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