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19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1455-2014, promovido por el Consejo de Gobierno de Andalucía, se impugnan diversos preceptos de la Ley Orgánica 8/2013, de 9 de diciembre, para la mejora de la calidad educativa.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10 de junio de 2018, la Magistrada doña María Luisa Balaguer Callejón comunicó, a los efectos oportunos, que se abstenía de intervenir en la deliberación y votación del indicado recurso de inconstitucionalidad, al haber participado, en su anterior condición de consejera del Consejo Consultivo de Andalucía, en la adopción del dictamen núm. 121/2014, de 26 de febrero, sobre el recurso de inconstitucionalidad que pretendía plantear el Consejo de Gobierno de la Comunidad Autónoma de Andalucía en relación con determinados artículos de la Ley Orgánica 2/2006, de 3 de mayo, de educación, en la redacción dada por la Ley Orgánica 8/2013, de 9 de diciembre, para la mejora de la calidad educativa.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(LOPJ), se estima justificada la causa de abstención formulada, puesto que la mencionada Magistrada intervino, en calidad de consejera del Consejo Consultivo de Andalucía, en la adopción del Dictamen emitido por dicho órgano con carácter previo a la interposición por el Consejo de Gobierno de la Comunidad Autónoma de Andalucía del recurso de inconstitucionalidad dirigido contra diversos preceptos de la Ley Orgánica 8/2013, de 9 de diciembre, para la mejora de la calidad educativa, lo que puede integrarse en la causa del artículo 219.13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inconstitucionalidad núm. 1455-2014,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