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1989-2018, promovido por doña Paloma Santiesteban García contra providencias de la Sección Primera de la Sala de lo Contencioso­ Administrativo del Tribunal Supremo en el recurso de casación núm. 4089-2017 contra Sentencia de la Sección Tercera de la Sala de lo Contencioso-Administrativo del Tribunal Superior de Justicia de Andalucía con sede en Sevilla, en recurso de apelación núm. 41-2017.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julio de 2018, la Magistrada doña María Luisa Balaguer Callejón comunicó, a los efectos oportunos, que se abstenía de intervenir en la deliberación y votación del indicado recurso de amparo, al haber participado, en su anterior condición de Consejera del Consejo Consultivo de Andalucía, en la adopción del dictamen núm. 208/2015, de 25 de marzo, solicitado por la universidad de Huelva sobre revisión de oficio de contrato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se estima justificada la causa de abstención formulada, puesto que la mencionada magistrada intervino, en calidad de Consejera del Consejo Consultivo de Andalucía, en la adopción del dictamen emitido por dicho órgano con carácter previo a la interposición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amparo núm. 1989-2018,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