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532-2018, planteada por la Sala de lo Contencioso-Administrativo del Tribunal Superior de Justicia de Andalucía, con sede en Granada, respecto del artículo 6.1.3 de la Ley 2/1992, de 15 de junio, forestal de Andalucía. Han comparecido y formulado alegaciones el Fiscal General del Estado, el Abogado del Estado, la Junta de Andalucía y el Parlamento de Andalucía.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enero de 2018 tuvo entrada en el Registro General del Tribunal Constitucional escrito de la Sala de lo Contencioso-Administrativo del Tribunal Superior de Justicia de Andalucía, con sede en Granada, por el que se remite, junto al testimonio de las actuaciones, el Auto de 15 de enero de 2018, por el que se acuerda plantear cuestión de inconstitucionalidad respecto del artículo 6.1.3 de la Ley 2/1992, de 15 de junio, forestal de Andalucía. El precepto cuestionado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cumplimiento de los objetivos previstos en la presente Ley, la Comunidad Autónoma ostenta las potestades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Investigar, deslindar y recuperar de oficio los montes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Consejería de Medio Ambiente de Andalucía de 9 de julio de 2010 se aprobó el deslinde del monte público “Santa Catalina, Cerro del Neveral, La Imola y el Almendral”, con código de la Junta de Andalucía JA-30020-AY, propiedad del Ayuntamiento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A.C.P. interpuso recurso contencioso-administrativo contra dicha resolución. Emplazado el Ayuntamiento de Jaén de conformidad con lo dispuesto por el artículo 49.1 de la Ley reguladora de la jurisdicción contencioso-administrativa (LJCA), la entidad local se personó en el proceso a través de su representante legal mediante escrito de 12 de enero de 2011. Por diligencia de ordenación de 18 de enero de 2011 se le tiene por personado y parte en calidad de codemandado.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Formalizada la demanda tras diversas incidencias procesales, en la misma se alega, como primera cuestión sustantiva, la falta de competencia de la Junta de Andalucía para acordar el inicio del expediente de deslinde. Se aduce a este efecto la vulneración de dos normas estatales: el artículo 21 de la Ley 43/2003, de 21 de noviembre, de montes, y el artículo 41 de la Ley 33/2003, de 3 de noviembre, de patrimonio de las administraciones públicas, que atribuyen a la Administración titular del monte público no catalogado (en este caso, el Ayuntamiento de Jaén) la potestad de deslinde ejercida por la Junta de Andalucía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orden de 23 de febrero de 2012, del Consejero de Medio Ambiente, se publicó la relación de montes que integran el catálogo de montes públicos de Andalucía (“BOJA” núm. 62, de 29 de marzo de 2012), en el que se incluye el monte deslindado en la resolución objeto del proceso a quo, figurando el Ayuntamiento de Jaén como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Concluso el procedimiento, por Auto de 8 de noviembre de 2017 el órgano judicial acordó, de conformidad con lo dispuesto por el artículo 35.2 de la Ley Orgánica del Tribunal Constitucional (LOTC), conferir traslado al Ministerio Fiscal, a la Junta de Andalucía y a la representación legal del recurrente para que, en plazo común de diez días, formularan alegaciones sobre la pertinencia de plantear cuestión de inconstitucionalidad respecto del artículo 6.1.3 de la Ley 2/1992, de 15 de junio, forestal de Andalucía, por posible vulneración del artículo 21 de la Ley 43/2003, de 21 de noviembre, de Montes, norma dictada, según su disposición final segunda,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 evacuar dicho trámite, tanto el Ministerio Fiscal (sin entrar en el fondo del asunto) como el recurrente estiman la procedencia de plantear la cuestión de inconstitucionalidad, manifestándose la Junta de Andalucía en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15 de enero de 2018, la Sala promotora acordó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expone que el precepto cuestionado, al atribuir a la Administración forestal autonómica la potestad de deslinde, entra en contradicción con la normativa básica sobrevenida (art. 21 de la Ley de montes), que reserva esta potestad a la Administración titular del monte (Ayuntamiento de Jaén), salvo que se trate de montes incluidos en el catálogo de montes de utilidad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premisa es que el monte objeto de deslinde, tanto en el momento en que se dio inicio al expediente —5 de agosto de 2008— como cuando éste se resolvió —9 de julio de 20l0—, no estaba catalogado. La ley básica de montes reserva esta denominación para aquéllos que se hallen incluidos en el catálogo de montes de utilidad pública, y del expediente administrativo se desprende que hasta la orden de 23 de febrero de 2012, por la que se da publicidad a la relación de montes incluidos en el catálogo de montes públicos de Andalucía (“BOJA” de 29 de marzo 2012), no adquirió la condición de monte de utilidad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de aplicar la Ley forestal de Andalucía, sería indudable la competencia de la Administración autonómica, mientras que del tenor de la Ley básica de montes se desprende que la potestad de deslinde corresponde exclusivamente al Ayuntamiento de Jaén, lo que determinaría la nulidad de pleno derecho de la resolución impugnada al haberse dictado por un órgano incompetente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195/2015, de 30 de octubre, y 1/2017, de 23 de febrero, considera que la facultad de seleccionar la norma jurídica aplicable al caso concreto, inherente a la potestad de juzgar y privativa de los jueces y tribunales del Poder Judicial (art. 117.3 CE), no alcanza a desplazar una ley postconstitucional ante un eventual juicio de incompatibilidad con la Constitución, sin que a ello se oponga que la contradicción con la Constitución no sea directa, sino mediata, esto es por una eventual contradicción de la norma legal autonómica con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marzo de 2018, el Pleno, a propuesta de la Sección Cuarta, acordó: admitir a trámite la presente cuestión de inconstitucionalidad; reservar para sí su conocimiento [art. 10.1 c) LOTC]; dar traslado de las actuaciones recibidas al Congreso de los Diputados, al Senado, al Gobierno, al Fiscal General del Estado, a la Junta de Andalucía y al Parlamento de Andalucía, al objeto de que puedan personarse en el proceso y formular alegaciones (art. 37.3 LOTC); comunicar la presente resolución a la Sala de lo Contencioso-Administrativo del Tribunal Superior de Justicia de Andalucía, con sede en Granada, a fin de que permanezca suspendido el proceso hasta que este Tribunal resuelva definitivamente (art. 35.3 LOTC); y publicar la incoación de la cuestión en el “Boletín Oficial del Estado” y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con fecha 21 y 22 de marzo de 2018, la Presidenta del Congreso de los Diputados y el Presidente del Senado comunicaron la personación de las respectivas Cámaras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abril de 2018, el Abogado del Estado se personó en el procedimiento y formuló sus alegaciones, instando la 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antinomia irreductible entre el artículo 21.1 de la Ley de montes, que atribuye la potestad de deslinde de los montes no catalogados a la Administración titular del monte (en el caso de autos, el Ayuntamiento de Jaén), y el artículo 6.1.3 de la Ley forestal de Andalucía, que atribuye dicha competencia en todo caso a la Junta de Andalucía, con independencia de la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es formalmente básica ex artículo 149.1.18 y 23 CE (disposición final segunda de la Ley de montes). Desde la perspectiva material, la atribución de la facultad de deslinde constituye un aspecto esencial, dada la función que cumplen los montes públicos, sean catalogados o no, para el interés general. No solo por una sola razón abstracta o sistemática, en cuanto que el artículo 41 de la Ley de patrimonio de las administraciones públicas establece las facultades y prerrogativas de la Administración titular dominical de un patrimonio público, y que integran el núcleo del derecho de propiedad. Además de ello, la delimitación fáctica de los linderos de un terreno propiedad de un sujeto público implica una potestad de autotutela de alcance objetivo, en una materia respecto de la que recae 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precepto asimismo básico desde la perspectiva del artículo 149.1.18 CE, al corresponder al Estado la competencia sustantiva básica de regulación de los montes (STC 16/2003, de 30 de enero,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Junta de Andalucía presentó su escrito de alegaciones con fecha 12 de abril de 2018. Solicita la desestimación de la cuestión de inconstitucionalidad,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6.1.3 de la Ley forestal de Andalucía es compatible con el artículo 21 de la Ley de montes, que deja sin regular la competencia para realizar el deslinde en un supuesto muy concreto: el de los montes públicos no catalogados, titularidad de un Ayuntamiento, cuando éste no haya determinado el procedimiento por el cual haya de practicarse el deslinde (art. 21.3 de la Ley de montes). Si no existe esa vía procedimental, el ejercicio de la competencia no es posible. Por ello, no existe contradicción alguna, ni vulneración del sistema de reparto competencial establecido en la Constitución ex arts. 149.1.18 y 149.1.23 CE, puesto que no consta en las actuaciones que el Ayuntamiento de Jaén haya determinado el procedimiento aplicable para deslindar sus montes públicos, quedando así fuera de las previsiones establecidas en el artículo 21 de la Ley de montes. Sería en cambio plenamente aplicable lo dispuesto en los artículos 6.1.3 y 31 de la Ley forestal de Andalucía, que no diferencian entre montes catalogados o no catalogados.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reconocerse la competencia de la Comunidad Autónoma de Andalucía para practicar el deslinde de este monte público no catalogado, existiría una laguna legal, y habría que acudir a la aplicación analógica de las normas (art. 4.1 del Código civil), lo que determinaría la aplicación del artículo 6.1.3 de la Ley forestal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17 de abril de 2018, el Letrado del Parlamento de Andalucía solicita la inadmisión y, subsidiariamente, la desestimación de la cuestión de inconstitucionalidad. Alega,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la inadmisión de la cuestión de inconstitucionalidad por falta de audiencia del Ayuntamiento de Jaén como parte codemandada en el litigio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de audiencia al Ayuntamiento de Jaén en el trámite del artículo 35.2 LOTC ha de conducir a la inadmisión de la cuestión (AATC 875/1985, de 5 de diciembre, FJ 1; 56/1997, de 25 de febrero, FJ 1, y 27/2018, de 20 de marzo, FJ 3, y STC 140/2008,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resulta asimismo inadmisible al haberse formulado inadecuadamente el juicio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(entre otras, STC 115/2009, de 18 de mayo, FJ 2, y AATC 664/1995, de 3 de octubre, FJ 1, y 25/2003, de 28 de enero, FFJJ 5 y 6), exige que el planteamiento de la cuestión de inconstitucionalidad tenga un estrecho nexo con el petitum de la demanda presentada en el litigio que da origen a la misma. No resulta pues procedente plantear la cuestión sobre la totalidad del artículo 6.1.3 de la Ley forestal de Andalucía, sino exclusivamente respecto del inciso que atribuye a la Comunidad Autónoma la potestad de deslinde sobre los montes públicos, sin afectar a la parte del precepto que se refiere a las potestades de investigación y recuperación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procedente inadmitir la cuestión por extralimitación en el juicio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los presupuestos de la doctrina constitucional sobre la inconstitucionalidad indirecta sobrevenida (entre otras, STC 132/2017, de 14 de noviembre, FJ 3), no se cumple el relativo a la existencia de una contradicción efectiva e insalvable por vía interpretativa entre la normativa básica estatal (art. 21.1 de la Ley de montes) y el precepto cuestionado (art. 6.1.3 de la Ley forestal de Andalucía). Ambos preceptos son compatibles desde un triple criterio hermenéutico: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el criterio de interpretación literal, el artículo 21.1 de la Ley de montes en ningún momento establece, con carácter imperativo y excluyente, que las únicas Administraciones que puedan efectuar el deslinde de los montes públicos sean las titulares de los mismos. Tampoco contiene una prohibición explícita de que otras Administraciones públicas, puedan llevar a cabo el deslinde de montes no catalogados. Aun admitiendo a efectos puramente dialécticos que sólo las Administraciones públicas titulares de montes no catalogados sean las que, en exclusiva, puedan realizar su deslinde, ello tampoco implicaría una contradicción insalvable con la norma autonómica: el artículo 6.1.3 de la Ley forestal de Andalucía puede interpretarse en el sentido de atribuir a la Comunidad Autónoma la potestad de deslinde sólo en relación con los montes que sean de su titularidad [art. 47.1.2 del Estatuto de Autonomía para Andalucía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una interpretación sistemática, las potestades citadas en el artículo 6.1.3 de la Ley forestal de Andalucía tienen su trasunto en distintos preceptos de la ley básica estatal que permite a la Administración autonómica, en su condición de gestora de montes públicos, deslindar y recuperar montes catalogados municipales, lo cual resulta conforme con la norma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corresponde a las Comunidades Autónomas formar el catálogo general de montes de utilidad pública dentro de su territorio (STC 71/1983, de 29 de julio), así como la facultad ejecutiva y de gestión de tales montes [arts. 148.1.8 CE y 57.1 a) EAAnd, en conexión con el artículo 42.2 del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Según la interpretación teleológica, no es dudoso que el fin último de la potestad de deslinde de los montes públicos es la defensa de la integridad y los valores medioambientales propios de este recurso natural (entre otras, SSTC 84/2013, de 11 de abril, FJ 2, 97/2013, de 23 de abril, FJ 3, 214/2015, de 22 de octubre, FJ 3, y 132/2017, de 14 de noviembre, FJ 3 a). De ello se deduce que el título competencial que habilita al Estado para establecer la legislación básica en materia de montes, en relación con las potestades de deslinde, recuperación e investigación, no es exclusivamente el artículo 149.1.18 CE, sino también el artículo 149.1.23 CE, ya que se trata de privilegios legales para la defensa del valor medioambiental y paisajístico de estos recursos naturales. Teniendo en cuenta la concurrencia de este doble título competencial habilitante, y la competencia autonómica ex artículo 57.1 a) EAAnd, la regulación andaluza en materia de montes constituye un complemento a la legislación básica del Estado en relación con la tutela medioambiental y de los montes y aprovechamientos forestales, plenamente legítima siempre que implique una mayor protección de los recursos naturales y valores ecológicos y no contradiga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regulación andaluza complementa la básica con el propósito de establecer un régimen más extenso y completo de protección a los montes públicos, en el supuesto de que las Administraciones titulares no puedan ejercer dichas facultades para la defensa de estos bienes que gozan de un especial valor medioambiental y ecológico.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ámbito del artículo 149.1.18 CE, en cuanto a las potestades de deslinde, investigación y recuperación sobre bienes públicos, el título específico aplicable sería el de “legislación básica sobre el régimen jurídico de las Administrativas públicas” en su vertiente patrimonial (SSTC 58/1982, de 27 de julio, FJ 1; 85/1984, de 26 de julio, FJ 3; 162/2009, de 29 de junio, FJ 4, y 94/2013, de 23 de abril, FFJJ 3 y 4). La Comunidad Autónoma de Andalucía tiene competencia compartida en materia de régimen jurídico de su Administración (art. 47.2 EAAnd, con el alcance fijado en su artículo 42.2).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estatal dictada al amparo del artículo 149.1.18 CE debe dejar un margen de actuación al desarrollo legislativo autonómico, máxime cuando ésta última incremente las garantías del ciudadano y la tutela del interés público, como ha reconocido la STC 50/1999, de 6 de abril, FJ 3 (criterio reiterado en la STC 156/2015, de 9 de julio, FJ 8). La dicción literal del artículo 6.1.3 de la Ley forestal de Andalucía se incardina en la competencia compartida sobre el régimen jurídico de la Administración de la Comunidad Autónoma, respetando las bases estatales al no contradecir las facultades que la Ley de montes reconoce a las entidades titulares de dichos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al extender las potestades de deslinde, investigación y recuperación de todos los montes públicos de Andalucía a la Comunidad Autónoma, exterioriza la idea de proteger especialmente a los de aquellas Administraciones que más requieren de esta ayuda, como es el caso de las Administraciones locales. Por ello, las potestades autonómicas podrían también encontrar amparo en la competencia de la Comunidad Autónoma en materia de régimen local, conforme al artículo 60 EAAnd (interpretando una norma similar, STC 31/2015, de 28 de junio, FJ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18 de abril de 2018, el Fiscal General del Estado comparece e interesa la estimación de la cuestión de inconstitucionalidad con fundamento en las alegaciones que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21.l de la Ley de montes tiene la condición de base del régimen jurídico de las Administraciones públicas (art. 149.1.18 CE), como formalmente declara el apartado 2 de su disposición final segunda. Desde la perspectiva material, también puede considerarse una norma integrante de dicha base, de acuerdo con la doctrina constitucional (por todas, SSTC 49/1988, de 22 de marzo, FJ 3; 225/1993, de 8 de julio, FJ 3; 197/1996, de 28 de noviembre, FJ 5, y 50/1999, de 6 de abril). Al amparo de este título competencial, el Estado puede fijar principios básicos de aplicación en todo el territorio, como la determinación del régimen general de las potestades administrativas (STC 227/1988) o la regulación de los principios que presiden las relaciones entre las administraciones públicas (STC 76/1983, de 5 de agosto,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sobre montes, aparte de no poder prescindir de la competencia exclusiva del Estado establecida en el artículo 149.1.23 CE, jamás podría extenderse a las bases del régimen jurídico de las Administraciones públicas que el artículo 149.1.18 CE reserva al Estado, que es de lo que aquí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posible una interpretación integradora de las normas en conflicto, habida cuenta de que éstas fijan la competencia para el deslinde de montes públicos de modo completamente dispar. La propuesta de la Junta de Andalucía, a partir de lo establecido en el artículo 21.3 de la Ley de montes, ha de ser rechazada por las mismas razones esgrimidas por la Sala que ha planteado la presente cuestión de inconstitucionalidad: ha de entenderse que el citado precepto se refiere únicamente al procedimiento a seguir para la tramitación y resolución del deslinde, pero no al ejercicio de la competencia, que se mantiene en la Administración titular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2018 se señaló para deliberación y votación del presente recurso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Andalucía, con sede en Granada, ha elevado cuestión de inconstitucionalidad respecto del artículo 6.1.3 de la Ley 2/1992, de 15 de junio, forestal de Andalucía, por posible vulneración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 un supuesto de posible inconstitucionalidad mediata o indirecta. El órgano promotor expone que el precepto cuestionado, al atribuir a la Administración forestal autonómica la potestad de deslinde de todos los montes públicos, entra en contradicción con la normativa básica sobrevenida (art. 21.1 de la Ley 43/2003, de 21 de noviembre, de montes), que reserva esta potestad a la Administración titular del monte (en el caso de autos, el Ayuntamiento de Jaén), salvo que se trate de montes incluidos en el catálogo de montes de utilidad pública. La norma estatal ha sido dictada al amparo del artículo 149.1.18 CE, que atribuye al Estado la competencia para dictar las bases del régimen jurídico de las Administraciones públicas, tal y como resulta del apartado segundo de la disposición final segunda de la propia Ley básica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en los antecedentes, tanto el Fiscal General del Estado como el Abogado del Estado interesan la estimación de la cuestión de inconstitucionalidad, en tanto que la Junta de Andalucía considera que la misma debe ser desestimada porque los preceptos estatal y autonómico en contraste admiten una interpretación integradora. Por su parte, el Parlamento de Andalucía opone en primer lugar causas de inadmisión por razones procesales y, en segundo lugar, interesa la desestimación de la cuestión, al no apreciar contradicción efectiva e insalvable entre ambas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duda de constitucionalidad, es necesario dar respuesta a las causas de inadmisión planteadas por el representante procesal del Parlamento de Andalucía, teniendo en cuenta que la concurrencia de los requisitos procesales exigidos por el artículo 35 de la Ley Orgánica del Tribunal Constitucional (LOTC) puede ser examinada no sólo en el trámite de admisión previsto en el artículo 37 LOTC, sino también en la sentencia que ponga fin al proceso constitucional (por todas, SSTC 254/2015, de 30 de noviembre, FJ 2; 175/2016, de 17 de octubre, FJ 2; 26/2017, de 16 de marzo, FJ 1; 57/2017, de 11 de mayo, FJ 1, y 57/2018, de 24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óbice se refiere a la omisión de audiencia del Ayuntamiento de Jaén, codemandado en el proceso a quo, en el trámite conferido a las partes y al Ministerio Fiscal para que alegaran sobre la pertinencia de plantear la cuestión de inconstitucionalidad, de conformidad con lo prevenido en el artículo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autos que acompañan al planteamiento de la cuestión pone de manifiesto que el representante legal del Ayuntamiento de Jaén, emplazado al efecto de conformidad con lo dispuesto por el artículo 49.1 de la Ley reguladora de la jurisdicción contencioso-administrativa (LJCA), se personó como parte en el procedimiento contencioso-administrativo origen de esta cuestión, mediante escrito registrado con fecha 20 de febrero de 2012, ante la Sala de lo Contencioso-Administrativo del Tribunal Superior de Justicia de Andalucía, con sede en Sevilla. Una vez que fue asumida la competencia para conocer del recurso por la Sala de lo Contencioso-Administrativo del Tribunal Superior de Justicia de Andalucía con sede en Granada, Sección Primera, por Auto de 26 de abril de 2012 se tiene por personado como codemandado al Ayuntamiento de Jaén. Si bien la entidad local no contestó a la demanda ni presentó escrito de conclusiones, ha mantenido su condición de parte codemandada a lo largo de todo el procedimiento judicial, y así consta en el encabezamiento del Auto de 6 de noviembre de 2017 por el que se abre el trámite del artículo 35.2 LOTC, en cuya parte dispositiva se da traslado para formular alegaciones únicamente al Ministerio Fiscal, a la Junta de Andalucía y a la representación legal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advertida determina la inadmisión de esta cuestión de inconstitucionalidad por incumplimiento del requisito procesal del artículo 35.2 LOTC, conforme a la doctrina del Tribunal (entre otros, AATC 299/2005, de 5 de julio, FJ 3; 128/2012, de 19 de junio, FJ 2; 220/2012, de 27 de noviembre, FJ 4, y 266/2014, de 4 de noviembre, FJ 3), recientemente sintetizada en el ATC 27/2018,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el alcance y contenido del requisito de la audiencia a las partes que contempla el artículo 35.2 LOTC; y más concretamente, cuando dicho trámite se omite respecto de alguna de ellas por no estar personadas o comparecidas en las actuaciones. En el ATC 220/2012, de 27 de noviembre, FJ 4, figura el siguiente argumento en relación con la temática antes apuntada: [e]n rigor, dicho trámite de audiencia constituye así el momento inicial del procedimiento dado que lo que se ventila no es sino la posibilidad de alegar lo que al derecho de las partes convenga sobre la pertinencia de plantear la cuestión. De este modo lo determinante es que las partes, comparecidas ante la Sala o no, tengan la opción de ser oídas y expresar su parecer sobre una decisión de tanta entidad como el planteamiento de una cuestión de inconstitucionalidad pues no debe olvidarse que existe ‘un interés jurídicamente protegido por la nuestra Ley Orgánica en relación con las partes de un proceso ordinario para hacerse oír en el incidente previo que se considera’ (ATC 875/1985, de 5 de diciembre, FJ 1). De esta forma la decisión de la Sala de oír solo a la parte que se personó ante la misma es también causa determinante de la inadmisión de la cuestión por vulnerar la reiterada doctrina de este Tribunal, sobre la finalidad de la audiencia del art. 35.2 LOTC (ATC 188/2009, de 23 de junio,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fue secundada en la STC 222/2012, de 27 de noviembre, FJ 4, en los AATC 137 y 138/2015, de 21 de julio, FJ 3, y en el ATC 112/2017 ya citado, en cuyo fundamento jurídico 3 sostuvimos que la consideración de parte, a efectos del traslado previsto en el artículo 35.2 LOTC, trasciende de la eventual comparecencia y personación del interesado en el momento procesal en que se resuelve plantear la cuestión de inconstitucionalidad, pues… el interés jurídicamente protegido que se anuda al trámite de audiencia regulado en el artículo 35.2 LOTC, es decir la pertinencia de plantear cuestión de inconstitucionalidad, es distinto del perseguido en el proceso subyacente’, siendo lo relevante el ‘interés legítimo que ostenta…, de cara a ser oído en relación con el planteamiento de una cuestión de inconstitucionalidad (AATC 137/2015 y 138/2015, de 21 de julio)’. Conforme a la doctrina expuesta, el juzgador debió otorgar, indefectiblemente, el trámite de audiencia previsto en el artículo 35.2 LOTC a la persona contra la que se dirige la demanda.”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criterio conduce de manera directa a la inadmisión de la presente cuestión por omisión de audiencia del Ayuntamiento de Jaén en el trámite del artículo 35.2 LOTC, sin que sea ya necesario examinar la segunda objeción procesal planteada por el Parlamento de Andalucía.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