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11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2146-2018, promovido por doña Cristina Nieto Báez contra providencias de la Sección Primera de la Sala de lo Contencioso-Administrativo del Tribunal Supremo, de 21 de diciembre de 2017 y de 6 de marzo de 2018, en el recurso de casación núm. 4277-2017 contra la Sentencia de 26 de abril de 2017 de la Sección Tercera de la Sala de lo Contencioso-Administrativo del Tribunal Superior de Justicia de Andalucía, con sede en Sevilla, en el recurso de apelación núm. 263-2017.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11 de septiembre de 2018, la Magistrada doña María Luisa Balaguer Callejón comunicó, a los efectos oportunos, que se abstenía de intervenir en la deliberación y votación del indicado recurso de amparo, al haber participado, en su anterior condición de Consejera del Consejo Consultivo de Andalucía, en la adopción del dictamen núm. 613/2015, de 23 de septiembre, solicitado por la universidad de Huelva sobre revisión de oficio de contrato laboral.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artículos 80 de la Ley Orgánica del Tribunal Constitucional y 221.4 de la Ley Orgánica del Poder Judicial, se estima justificada la causa de abstención formulada, puesto que la mencionada Magistrada intervino, en calidad de Consejera del Consejo Consultivo de Andalucía, en la adopción del Dictamen emitido por dicho órgano con carácter previo a la interposición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amparo núm. 2146-2018,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