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julio de 2018, el Procurador de los Tribunales don Ignacio Argos Linares, en nombre y representación de don Ricardo Gómez Noriega, don Adrián Gómez Noriega y Transportes Gómez Noriega S.L., interpuso recurso de amparo, por vulneración de los artículos 24.1 y 24.2 CE, contra la Sentencia de 22 de febrero de 2018, núm. 52-2018, de la Sección Primera de la Audiencia Provincial de Gipuzkoa, que revocó la Sentencia absolutoria dictada en primera instancia por el Juzgado de lo Penal núm. 3 de Donostia en el procedimiento abreviado núm. 42-2017, condenando a las personas físicas recurrentes en amparo, como coautores de un delito contra los derechos de los trabajadores del artículo 311.1 del Código penal, a la pena de dos años y seis meses de prisión, inhabilitación especial para el ejercicio del derecho de sufragio pasivo durante la duración de la condena, diez meses de multa y el abono de una indemnización por los daños y perjuicios causados, y a la sociedad recurrente como responsable civil subsidiario del abono de ésta última. Igualmente se dirige el recurso contra el Auto de 4 de junio de 2018 del mismo órgano judicial, que desestimó el sucesivo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solicitaba por otrosí, ex artículo 56 de la Ley Orgánica del Tribunal Constitucional (LOTC), la suspensión de la ejecución de la pena de prisión impuesta a los demandantes de amparo, por cuanto podría causar un perjuicio tal que haría perder al presente recurso su finalidad. Se cita a ese fin el ATC 160/2017, de 21 de noviembre, y se razona que la duración de la pena impuesta se sitúa muy por debajo de la directriz general establecida por este Tribunal a la hora de decidir sobre la suspensión de la ejecución de penas de prisión (cinco años). Añade el escrito otro tipo de consideraciones, como por ejemplo que los recurrentes carecen de antecedentes penales, que tienen cargas familiares o que su ingreso en prisión podría acarrear consecuencias para las empresas que dirigen y sus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por providencia de 19 de julio de 2018, admitió a trámite el recurso de amparo y acordó la suspensión cautelar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fechada el mismo día 19 de julio, dispuso el Tribunal la formación de pieza separada para la tramitación del incidente sobre la suspensión solicitada, concediendo a la parte recurrente y al Ministerio Fiscal el plazo común de tres días para que alegasen lo que estimasen pertinente sobre la petición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demandantes de amparo presentó escrito de alegaciones con fecha 26 de julio de 2018. A su parecer no sería necesario el trámite, al haberse acordado ya la medida cautelar en la providencia de 19 de julio de 2018, que ha sido ejecutada, acatada por el Juzgado de lo Penal competente y no impugnada (art. 56.4 LOTC). Por todo ello solicita que se deje sin efecto el trámite de audiencia concedido o se confirme la suspensión ya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este Tribunal el 26 de julio de 2018, interesó la concesión de la suspensión de la pena privativa de libertad y accesorias de derechos impuestas a los recurrentes, toda vez que en otro caso podría ocasionarse a éstos perjuicios irreparables. Subraya a ese efecto que la duración de la condena a pena de prisión impuesta —dos años y seis meses— está comprendida en los márgenes que este Tribunal ha venido considerando para acceder a estas peticiones cuando se trata de penas privativas de libertad (no exceder de 5 años), no concurriendo en esta ocasión a su criterio otros elementos que lleven a alcanzar un distinto resultado, pues los recurrentes ostentan nacionalidad española, domicilio en España, arraigo y carecen de antecedentes penales, sin que provoque esa decisión tampoco una perturbación grave de los intereses generales o de los derechos fundamentales o libertades públicas de terceros. Razona que la misma suerte debe seguir la pena accesoria legal de inhabilitación especial para el ejercicio del derecho de sufragio pasivo, pues las penas accesorias quedan asociadas a la principal. En cambio, concluye, no procede la suspensión de las resoluciones recurridas en lo relativo a la parte dispositiva de contenido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los pedimentos de suspensión ejecutiva formulados por la representación procesal de los recurrentes en el presente amparo, procede hacer referencia a los diversos pronunciamientos de nuestro ATC 34/2016, de 15 de febrero, en el que, con cita de otras resoluciones anteriores, entre ellos el ATC 198/2014, hemos traído a colación la doctrina de este Tribunal en la materia. Así, comenzamos recordando en el fundamento jurídico 1 de aquel ATC 34/2016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expresada, entre otros, en el ATC 198/2014, de 21 de julio, de esta misma Sala, en su fundamento jurídico 1, que ‘[c]omo regla general, el apartado 1 del art. 56 de la Ley Orgánica del Tribunal Constitucional: LOTC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por lo que respecta a la suspensión de penas privativas de libertad, expusimos en el fundamento jurídico 2 del mencionado ATC 34/2016, de 15 de febrero, lo siguiente: “prosigue explicando el mencionado ATC 198/2014, de 21 de julio, en su fundamento jurídico 2: ‘[C]uando se trata de la suspensión de penas de prisión, se ha venido reiterando doctrina en virtud de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dicha doctrina, y no concurriendo las últimas excepciones dichas, procede acceder a lo solicitado, teniendo en cuenta la extensión de las penas de prisión impuestas en el caso de autos, las cuales se sitúan dentro del arco temporal en el que nuestra doctrina suele conceder la suspensión y ante el tiempo estimado para la tramitación y dictado de sentencia resolutoria de este recurso de amparo. De otro modo, el perjuicio podría considerarse irreparable, lo que haría perder gran parte, sino toda, la eficacia de un eventual fallo estimatorio del recurso; teniendo en cuenta además que no se produce ninguna perturbación grave de los intereses generales, ni la afectación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(por todos, ATC 21/2014,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las penas de multa, del pronunciamiento relativo a las costas o de las restantes disposiciones de contenido patrimonial, dado que no producen daño irreparable o de muy difícil reparación (entre tantos otros, ATC 35/2017, de 27 de febrero, FJ 4). No es posible llegar a otro resultado en este punto, pues los recurrentes no han intentado siquiera fundamentar la imposibilidad de reparación derivada de dichos pagos.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penas privativas de libertad impuestas a los recurrentes, y las accesorias de privación del derecho de sufragio pasivo durante el tiempo de la condena, por la Sentencia de 22 de febrero de 2018, núm. 52-2018, de la Sección Primera de la Audiencia Provincial de Gipuzkoa, dictada en el rollo de apelación núm. 1183-2017.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