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3 de diciembre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7 de junio de 2018, el Procurador de los Tribunales don Francisco Fernández Rosa, en nombre y representación de don Mohamed el Marrouni y asistido por el Letrado don Eugenio Jesús García Valenciano, interpuso recurso de amparo contra la Sentencia de la Sección Séptima de la Audiencia Provincial de Madrid, de fecha 4 de diciembre de 2017, que estimó parcialmente el recurso de apelación núm. 1533-2017, interpuesto por el demandante contra la Sentencia sobre juicio por delito leve núm. 3224-2016 dictada por el Juzgado de Instrucción núm. 25 de Madrid en fecha 2 de junio de 2017, e impuso al recurrente la pena de multa de tres meses con una cuota diaria de tres euros, por la comisión de un delito previsto en el artículo 245.2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las siguientes vulneraciones: i) del derecho a un proceso público con todas las garantías y del derecho de defensa (art. 24.2 CE), por no haberle sido brindada la posibilidad de ejercer el derecho a la última palabra en el acto del juicio oral; ii) del derecho a la tutela judicial efectiva sin indefensión (art. 24.1 CE), por no concurrir los elementos del tipo penal, especialmente el dolo, por el que resultó condenado; y iii) del derecho a la presunción de inocencia (art. 24.2 CE), por la ausencia de prueba de cargo para fundar la condena de que fue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24 de septiembre del 2018, la Sección Tercera del Tribunal Constitucional acordó inadmitir a trámite el recurso de amparo, con arreglo a lo previsto en el artículo 50.1 a) de la Ley Orgánica del Tribunal Constitucional (LOTC) en relación con su artículo 44.1 a), por las siguientes motivos: i) respecto de la denuncia referida a la denegación del derecho de última palabra, porque el recurrente no agotó debidamente los medios de impugnación dentro de la vía judicial, al no interponer el incidente de nulidad de actuaciones previsto en el artículo 241 de la Ley Orgánica del Poder Judicial (LOPJ) y ii) en relación con las restantes quejas, por no apreciar la especial transcendencia constitucional que, como condición para su admisión, requiere el artículo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decisión ha interpuesto recurso de súplica el Ministerio Fiscal, mediante escrito presentado en el registro general de este Tribunal, en fecha 11 de octubre de 2018, quien circunscribe el ámbito de su impugnación al primer motivo de inadmisión, relativo a la denuncia de vulneración del derecho a un proceso público con todas las garantías (art. 24.2 CE), por la no concesión al demandante del derecho a la última palabra. El Fiscal recurrente sostiene que la eventual vulneración del referido derecho tuvo lugar en el acto del juicio oral y que el demandante intentó su reparación a través del recurso de apelación que interpuso contra la sentencia dictada en la instancia. Añade que el órgano de apelación desestimó el motivo, en Sentencia de fecha 4 de diciembre de 2017, al considerar que la concesión del derecho de última palabra al denunciado no está prevista en la regulación del juicio sobre delitos leves y, a su vez, porque ni los propios denunciados, (que eran dos) ni sus letrados reclamaron ese derecho cuando el órgano judicial omitió su ofrecimiento. De lo expuesto, el Fiscal estima que la vulneración denunciada se sometió a la posibilidad de reparación por el órgano de apelación, a través del recurso indicado, de manera que intentado tal remedio en la vía judicial ya no le era exigible al demandante la ulterior interposición del incidente de nulidad de actuaciones, cuya formulación, incluso, hubiera podido tildarse de manifiestamente improcedente y dar lugar, como causa de inadmisión del recurso de amparo, a una prolongación indebida de la vía judicial previa. Por todo ello, el Fiscal interesa que, previa estimación del recurso de súplica, se deje sin efecto nuestra providencia de 24 de septiembre de 2018, reponiendo las actuaciones al momento inmediatamente anterior al de su dictado, sin perjuicio de que se adopte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15 de octubre de 2018, la Sección Tercera de este Tribunal acordó unir a las actuaciones el escrito presentado por el Fiscal y conceder un plazo de tres días a la parte recurrente para que formule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fecha 6 de noviembre de 2018, la secretaría de la Sección Tercera de este Tribunal hizo constar el transcurso del plazo concedido, sin que el demandante de amparo hubiera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Conforme a lo interesado por el Ministerio Fiscal procede estimar el recurso de súplica por él interpuesto. Ciertamente, en la sentencia dictada por el órgano de apelación se resuelve sobre la queja planteada por la falta de ofrecimiento a los denunciados del derecho a la última palabra en el acto del juicio oral, en los términos ya expuestos. Así pues, la vulneración del derecho a un proceso público con todas las garantías y del derecho de defensa (art. 24.2 CE) que, según el demandante de amparo, produjo la omisión de ese trámite por parte del órgano de enjuiciamiento se intentó reparar en la segunda instancia —aunque no con anterioridad, ante el propio órgano de enjuiciamiento—, de manera que, en el presente caso, no resulta precisa la interposición del incidente de nulidad de actuaciones para entender agotada la vía judicial previa. La estimación del recurso de súplica determina que se deje sin efecto la providencia impugnada por el Fiscal, sin que ello comporte la admisión a trámite del presente recurso de amparo, pues sobre ese particular se resolverá en una nueva providencia que se dictará a tal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24 de septiembre de 2018, por lo que se deja sin efecto la misma y quedan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