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1540-2018, interpuesto por la Administración General del Estado contra el auto de la Sección Tercera de la Sala de lo Contencioso-Administrativo del Tribunal Supremo de 1 de febrero de 2018, por el que se desestima el incidente de nulidad de actuaciones promovido contra la sentencia de 30 de noviembre de 2017, por la que, con estimación del recurso de casación núm. 3885-2015 interpuesto contra la sentencia de la Sección Cuarta de la Sala de lo Contencioso-Administrativo de la Audiencia Nacional de 21 de octubre de 2015, en el recurso núm. 182-2014, declara nula la Orden IET/350/2014, de 7 marzo, por la que se fijan los porcentajes de reparto de las cantidades a financiar relativas al bono social correspondientes a 2014.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Administración General del Estado representada por el abogado del Estado, interpuso recurso de amparo contra la sentencia y el auto referidos en el encabezamiento, mediante escrito registrado en este Tribunal el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6 de mayo de 2014 se interpuso recurso contencioso-administrativo contra la Orden IET/350/2014, de 7 marzo, por la que se fijan los porcentajes de reparto de las cantidades a financiar relativas al bono social correspondientes a 2014, dando lugar al procedimiento ordinario núm. 182-2014 tramitado por la Sección Cuarta de la Sala de lo Contencioso-Administrativo de la Audiencia Nacional. En la demanda se solicitaba que se declarase la ilegalidad y consiguiente anulación de la citada orden y del art. 45.4 de la Ley 24/2013, de 29 de diciembre, del sector eléctrico (LSE), por, entre otros motivos, vulneración de lo dispuesto en el art. 3 de la Directiva 2009/72 del Parlamento Europeo y del Consejo, de 13 de julio de 2009, sobre normas comunes para el mercado interior de la electricidad, por considerar que el mecanismo de financiación del bono social que se establece por las normas cuya inaplicabilidad se solicita es discriminatorio y no garantiza a las empresas eléctricas de la Unión Europea el acceso en igualdad de condiciones a los consumidores nacionales. En relación con ello se solicitaba, que, en su caso, de conformidad con lo previsto en el art. 267 del Tratado de funcionamiento de la Unión Europea (TFUE), se planteara cuestión prejudicial ante el Tribunal de Justicia de la Unión Europea. El recurso fue íntegramente desestimado por sentencia de 21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casación, dando lugar al recurso núm. 3885-2015, tramitado por la Sección Tercera de la Sala de lo Contencioso-Administrativo del Tribunal Supremo, que fue estimado por sentencia de 30 de noviembre de 2017. La sentencia declaró nula la Orden IET/350/2014, de 7 marzo, reconociendo el derecho de la sociedad recurrente a que se le reintegren las cantidades abonadas en concepto de bono social con los intereses legales correspondientes. La sentencia se remite a las sentencias de la misma Sala de 24 de octubre de 2016 (recursos contencioso-administrativos núm. 960-2014 y 981-2014), en las que se afirma que el régimen de financiación del bono social establecido en el art. 45.4 LSE, desarrollado luego en los arts. 2 y 3 del Real Decreto 968/2014, de 21 de noviembre, “no resulta compatible con la exigencia establecida en el art. 3.2 de la Directiva 2009/72/CE, donde se establece que las obligaciones de servicio público, como es el caso del bono social ‘deberán definirse claramente, ser transparentes, no discriminatorias y controlables, y garantizar a las empresas eléctricas de la Comunidad el acceso, en igualdad de condiciones, a los consumidores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Administración General del Estado promovió incidente de nulidad de actuaciones alegando la vulneración del derecho a la tutela judicial efectiva y al proceso con todas las garantías por, entre otros motivos, no haberse planteado cuestión prejudicial ante el Tribunal de Justicia de la Unión Europea. El incidente fue desestimado por auto de 1 de febrero de 2018, afirmando, en relación con la falta de planteamiento de la cuestión prejudicial, que en las sentencias antes citadas de 24 de octubre de 2016, se explicitan las causas por las que no resulta precisa su formulación.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Administración General del Estado aduce la vulneración del derecho a la tutela judicial efectiva (art. 24.1 CE) y del derecho a un proceso con todas las garantías (art. 24.2 CE), por cuanto el órgano judicial no planteó cuestión prejudicial ante el Tribunal de Justicia de la Unión Europea, pese a que ha declarado inaplicable el art. 45.4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justifica la especial trascendencia constitucional del recurso por considerar que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ante el citado Tribunal,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a la STC 232/2015, dejar de aplicar una ley interna sin previamente plantear cuestión prejudicial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esta perspectiva, lo verdaderamente primordial consiste en delimitar cuál es el alcance de las facultades que esos órganos ostentan y la amplitud del margen de interpretación del que disponen para inaplicar directamente una norma interna con rango de ley, por considerarla contraria al Derecho europeo, sin plantear previamente cuestión prejudicial ante el Tribunal de Justicia de la Unión Europea. Según la parte demandante, lo novedoso del caso reside en que, por considerar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demanda se refiere exclusivamente a las sentencias del Tribunal Supremo a las que se remite la impugnada.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La demanda sostiene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de la Unión Europea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la sentencia recurrida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pues ni puede imponerse con tal evidencia la similitud entre asuntos, de manera que no quepa albergar duda razonable sobre la solución de la cuestión, ni tampoco la cuestión suscitada es materialmente idéntica a otra anterior que hubiera sido objeto de una decisión prejudicial. Para la parte recurrente el Tribunal Supremo sustenta la aplicación al caso de la doctrina del “acto aclarado” en las sentencias recaídas en los asuntos Federutility y Anode, que constituyen supuestos análogos que, conforme a la “doctrina Cilfit”, justifican la inaplicación del art. 45.4 LSE. Sin embargo, respecto de la STJUE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por el contrario,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recurrente esta cuestión no puede considerarse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respecto a la segunda de las sentencias traídas a colación por el Tribunal Supremo, esto es, la STJUE de 7 de septiembre de 2016 —asunto Anode— no considera aplicable su doctrina al presente caso. Y ello porque, en aquel supuesto, los fines alegados para justificar la medida eran los de garantizar “la seguridad del suministro y la cohesión territorial”, que son distintos de los que se pretenden alcanzar mediante el bono social español, ya que estos se refieren a la protección de los consumidores vulnerables, aspecto este que es completamente ajeno a la determinación de los componentes del precio del gas en aquel caso. Al margen de lo expuesto, para la demandante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invoca algunos de los argumentos que figuran en el voto particular formulado por el magistrado disidente a la sentencia de 14 de octubre de 2016, consistentes, en síntesis, en que concurren diferencias sustanciales entre el caso resuelto por el Tribunal de Justicia de la Unión Europea y los presupuestos fácticos y jurídicos examinados en el recurso contencioso administrativo tramitado por el Tribunal Supremo, por lo que no resulta aplicable la doctrina del “acto aclarado” a fin de eludir el planteamiento de la cuestión prejudicial en el presente caso. También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16 de julio de 2018, acordó admitir el presente recurso a trámite apreciando que concurre especial transcendencia constitucional [art. 50.1 de la Ley Orgánica del Tribunal Constitucional (LOTC)], porque plantea un problema o una faceta de un derecho fundamental sobre el que no hay doctrina de este Tribunal. [STC 155/2009, FJ 2 a)]; y, en aplicación de lo dispuesto en el art. 51 LOTC, dirigir atenta comunicación a los órganos judiciales para que remitieran certificación o fotocopia adverada de las actuaciones correspondientes, emplazando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el 29 de octubre de 2018, presentó sus alegaciones interesando que se estime el recurso de amparo por vulneración de los derechos a la tutela judicial efectiva y a un proceso con todas las garantías con anulación de las resoluciones impugnadas y retroacción de actuaciones para que se dicten resoluciones respetuosas con dichos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argumenta el fiscal ante el Tribunal Constitucional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explica el mecanismo del bono social que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el régimen de financiación del bono social. Esas disposiciones, recuerda el ministerio público, fueron enjuiciadas en la sentencia de la Sala Tercera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LSE, más tarde modificada por el Real Decreto-Ley 7/2016. Afirma el ministerio fiscal que esta disposición se corresponde con las previsiones del Real Decreto-Ley 6/2009, pues establece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adelante, advierte que la sentencia del Tribunal Supremo considera que los criterios reflejados en la exposición de motivos del Real Decreto-Ley 9/2013 no justifican debidamente el sistema de financiación del bono social que, en síntesis, corre a cargo de las sociedades que realizan simultáneamente las actividades de generación, distribución y comercialización en el sector eléctrico. Tampoco, según la referida sentencia, aparece debidamente justificado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TFUE.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de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de derechos humanos, que los órganos judiciales nacionales deben justificar, de acuerdo con la doctrina del Tribunal de Justicia de la Unión Europea, los supuestos por los que deciden no plantear cuestión prejudicial y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sintetizar la doctrina Cilfit sobre los supuestos de dispensa del planteamiento de la cuestión prejudicial, el ministerio fiscal compendia la argumentación judicial dada a favor de omitir la cuestión prejudicial. Sobre ese particular, pone de relieve que, en el fundamento jurídico 8 de las sentencias a las que se remite la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STJUE de 20 de abril 2010 recaída en el asunto Federutility, que la referida resolución consideró como “acto aclarado”. En relación con el presente supuesto, el órgano judicial también considera que existen decisiones prejudiciales del Tribunal de Justicia de la Unión Europea en casos análogos; en concreto, la ya citada STJUE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pues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de la Unión Europea que se pronuncian sobre la interpretación de las Directivas relativas al mercado del gas —y no sobre las del mercado de la electricidad— y además se refieren a otro tipo de obligaciones de servicio público distintas 404 del bono social. La sentencia del caso Anode versa sobre un supuesto en el que la norma legal controvertida impone a determinadas empresas suministradoras de gas un precio regulado a clientes finales, a fin de garantizar el suministro y la cohesión territorial y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no se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energía); y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reitera que el tribunal a quo no ha apreciado correctamente la doctrina del “acto aclarado”, ya que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También incide a favor de esas dudas la existencia de un voto particular en las sentencias dictadas por la Sección Tercera de la Sala de lo Contencioso del Tribunal Supremo en las que se basa la sentencia impugnada en esta sede y el dictamen del Consejo de Estado relativo al proyecto de orden por el que se desarrolla la metodología para la fijación de los porcentajes de reparto de las cantidades a financiar respecto del bono social, que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Administración General del Estado, mediante escrito registrado el 26 de octubre de 2018, presentó sus alegaciones ratificándose en las expuestas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dictada el día 30 de noviembre de 2017 por la Sección Tercera de la Sala de lo Contencioso-Administrativo del Tribunal Supremo, así como el auto de 1 de febrero de 2018, del mismo órgano judicial, por el que se desestima el incidente de nulidad de actuaciones promovido frente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de este recurso son sustancialmente coincidentes con los que ya han sido abordados en la reciente STC 37/2019, de 26 de marzo, a cuyos fundamentos es preciso remitirse. En consecuencia, damos por reproducidos los fundamentos jurídicos 4 a 6 de esta sentencia. En ellos, tras exponer la doctrina constitucional sobre el planteamiento de la cuestión prejudicial y examinar el pronunciamiento de la Sala Tercera del Tribunal Supremo en el caso enjuiciado, se consideró vulnerado el derecho a un proceso con todas las garantías (art. 24.2 CE) debido a la ausencia de los presupuestos necesarios para apreciar que concurre un supuesto de “acto aclarado” que pueda eximir de la obligación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retrotrayendo las actuaciones al momento anterior al de pronunciarse la primera de las resoluciones citadas, a fin de que la Sala de lo Contencioso-Administrativo del Tribunal Supremo pronuncie otra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Sección Tercera de la Sala de lo Contencioso-Administrativo del Tribunal Supremo de 30 de noviembre de 2017 y el auto de 1 de febrero de 2018, pronunciados en el recurso de casación núm. 3885-2015.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pronuncie nueva resolución que sea respetuosa con el derecho fundamental reconocido, en los términos expresados en el fundamento jurídico único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