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Alfredo Montoya Melgar, don Cándido Conde-Pumpido Tourón y la magistrada doña María Luisa Balaguer Callejón, en el recurso de amparo núm. 5543-2018,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octubre de 2018,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3 de Lorca en el procedimiento de ejecución hipotecaria núm. 93-2018 en fechas 3 de julio y 14 de septiembre de 2018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93-2018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11 de abril de 2018, aclarado por otro de 2 de mayo de 2018, se acordó despachar ejecución frente las sociedades demandadas. El citado auto y el decreto de la misma fecha que le sigue fueron comunicados a las citadas entidades a través de la sede judicial electrónica el día 4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29 de junio de 2018. Por auto de 3 de julio de 2018 se acordó su inadmisión por presentación extemporánea, tomando como fecha de notificación el 4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4 de mayo de 2018 sino el 19 de junio de 2018 y que la comunicación remitida a través de la dirección electrónica habilitada no puede entenderse más que un aviso de puesta a disposición o descarga de su contenido durante un plazo determinado (en el caso desde el 4 mayo al 19 de junio de 2018) y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fue desestimado por auto de 14 de septiembre de 2018.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 Según el auto, si bien “es cierto que la notificación por medios electrónicos efectivamente se realiza cuando el destinatario accede a su contenido”, la recurrente “yerra en el plazo en el que puede acceder a [dicho] contenido a efectos de la práctica de la notificación el cual es de diez días naturales desde la puesta a su disposición y ello por imperativo del artículo 43.2 de la citada Ley” 39/2015, de 1 de octubre, del procedimiento administrativo común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órgano emisor juzgados y tribunales (SGAJ) en la Dirección electrónica habilitada del titular Penrei Inversiones, S.L. — NIF B73836173.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04 de mayo de 2018 hasta el 19 de junio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 3 DE LORCA EHJ/00000093/2018’”.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mayo de 2019 la Sección Primera de este Tribunal acordó admitir a trámite el recurso de amparo y dirigir comunicación al Juzgado de Primera Instancia e Instrucción núm. 3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27 de mayo de 2019, la parte demandante formuló sus alegaciones, reiterando lo dicho en el otro 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3 de junio de 2019, interesa que se acuerde la anotación preventiva de la demanda en el registro de la propiedad, aunque esta última medida no haya sido solicitada en el recurso de amparo. Tras exponer la doctrina de este Tribunal sobre suspensión de resoluciones y actos impugnados, aduce que en el presente caso la suspensión no aparece muy fundamentada por la propia parte recurrente, resultando más eficaz la anotación preventiva de la demanda en el registro de la propiedad mediante la que se evitaría que un hipotético tercer adquirente del inmueble hipotecado quede especialmente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21 de junio de 2019 se acordó, conforme a lo dispuesto en el art. 56 LOTC, dar audiencia por tres días a Banco de Sabadell, S.A., representado por la procuradora doña Blanca María Grande Pesquero, por haberse personado en las actuaciones principales. Esta parte ha presentado escrito en que solicita la denegación de la suspensión ya que, a su juicio, la demandante de amparo no ha acreditado ningún tipo de perjuicio que pueda considerarse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93-2018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el procedimiento se encuentra pendiente de la celebración de la subasta y que el inmueble sobre el que se sigue la ejecución está constituido por una plaza de aparcamiento de vehículos, de modo que no sirve de vivienda ni de soporte de una actividad comercial explotada por la entidad demandante o terceros.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93-2018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