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76</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15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5546-2018, promovido por Euroinversiones Inmobiliarias Costa Sur, S.L., en pleito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25 de octubre de 2018, tuvo entrada en el registro general de este Tribunal Constitucional un escrito de la procuradora doña Blanca Berriatua Horta, en representación de la entidad Euroinversiones Inmobiliarias Costa Sur, S.L., por el que interpuso recurso de amparo contra el auto de 2 de julio de 2018 del Juzgado de Primera Instancia e Instrucción núm. 3 de Lorca, que inadmitió el escrito de oposición a la ejecución hipotecaria promovida por Banco de Sabadell, S.A., y contra el auto del mismo Juzgado, de 12 de septiembre de 2018, que desestimó el recurso de reposición interpuesto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2 de julio de 2018, el juzgado de primera instancia e instrucción dictó un auto en el procedimiento de ejecución hipotecaria núm. 100-2018 por el que acordó: “Inadmitir a trámite la oposición formulada por la parte ejecutada Penrei Inversiones, S.L., y Euro Inversiones Inmobiliarias Costa Sur, S.L.”, advirtiendo en pie de recurso que contra dicha resolución cabía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basó su decisión, conforme a su fundamento de Derecho único, en lo siguiente: “Se establece en el artículo 134 de la Ley de enjuiciamiento civil: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y previniéndose en el artículo 695 LEC, que el escrito de oposición a la ejecución deberá ser presentado dentro de los diez días siguientes al de la notificación del auto y decreto por el que se despacha ejecución y/o de la medida concreta de ejecución, y constando en el presente supuesto que la parte ejecutada se ha opuesto pasado que ha sido el plazo que legalmente se le otorga, debe ser inadmitida su oposición por extemporánea, de conformidad con lo establecido en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Formalizado contra dicho auto recurso de reposición por la entidad aquí demandante de amparo, el juzgado a quo dictó auto el 12 de septiembre de 2018 desestimándolo, con confirmación de la resolución recurrida, en virtud de los motivos expresados en su razonamiento jurídico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siendo indiscutible la condición de personas jurídicas de las recurrentes, las mismas desde el 1 de enero de 2017 (disposición transitoria cuarta de la Ley 42/2015, de 5 de octubre, de reforma de la LEC) están obligadas a relacionarse con la Administración de Justicia por medios electrónicos (art. 14. 2 a) de la Ley 39/2015 LPAAP y art. 273. 3 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Interpretan las recurrentes de forma errónea la normativa aplicable. Es cierto que la notificación por medios electrónicos efectivamente se realiza cuando el destinatario accede a su contenido. Ahora bien, hierran sic en el plazo en el que puede acceder a su contenido a efectos de la práctica de la notificación, el cual es de 10 días naturales desde la puesta a su disposición y ello por imperativo de la sic art. 43 de la citada LPACAP (Ley 30/15). Así dice el artículo 43. 2 de la citada Ley que ‘las notificaciones por medios electrónicos se entenderán practicadas en el momento en que se produzca el acceso a su contenido. Cuando la notificación por medios electrónicos sea de carácter obligatorio, o haya sido expresamente elegida por el interesado, se entenderá rechazada cuando hayan transcurrido diez días naturales desde la puesta a disposición de la notificación sin que se acceda a su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consta que la notificación se puso a disposición de las recurrentes en fecha 3 de mayo de 2018 no accediendo al contenido hasta el día 18 de junio (fuera de los diez días naturales), presentando los escritos de oposición a la ejecución en fecha 29 de junio claramente fuera del plazo legalmente establecido en el art. 556. 1 LEC (dentro de los 10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traía el siguiente pie de recurso: “Notifíquese esta resolución a las partes personadas, haciéndoles sic que es firme, y contra la misma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que si bien la recurrente, por ser una persona jurídica, viene por ello obligada a relacionarse con la administración de justicia a través de medios electrónicos, no obstante cuando es el primer emplazamiento y por tanto todavía aquélla “no ha tenido ninguna relación con el Juzgado correspondiente en este especial y concreto procedimiento”, ha de practicarse mediante cédula con entrega en papel de la documentación correspondiente, conforme establece el art. 273 LEC, en relación con los arts. 135, 152, 162 y 155 de la misma LEC.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Pese a todo esto, el auto dictado por el juzgado el 2 de julio de 2018 declaró extemporánea la presentación del escrito de oposición, computando el plazo de diez días desde la fecha de envío de aquel correo a través de la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auto del 12 de septiembre siguiente que desestimó la reposición, se rechaza por la recurrente que haya fundamentado su decisión en la Ley de procedimiento administrativo común, “que consideramos inaplicable al ámbito procesal civil, puesto que además de existir normas concretas al respecto, no se dan en uno y otro ámbito las mismas garantías procedimentales”; siendo que en materia de notificación de actos procesales existe su propia normativa tanto en la Ley de enjuiciamiento civil —los artículos arriba citados—, como en el haz de garantías del propio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aquéllas, a fin de que el juzgado a quo admita a trámite la “demanda de oposición al despacho de ejecución formulada por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derivadas sic de los pronunciamientos judiciales que han sido objeto de impugnación, con la celebración de subasta y la eventual adjudicación a terceros, pueden hacer perder al recurso de amparo su finalidad, por lo que solicito la suspensión de la continuación del procedimiento de ejecución hipotecaria 100-2018 seguido ante el Juzgado de Primera Instancia e Instrucción número 3 de LORCA, hasta tanto sea resuelto el presente recurso de amparo, poniéndolo en conocimiento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Sección Cuarta, de este Tribunal Constitucional, dictó providencia el 17 de junio de 2019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porque el recurso plantea un problema o afecta a una faceta de un derecho fundamental sobre el que no hay doctrina de este Tribunal [STC 155/2009, FJ 2 a)], así como que el recurso puede dar ocasión al Tribunal para aclarar o cambiar su doctrina,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al Juzgado de Primera Instancia e Instrucción núm. 3 de Lorca a fin de que, en plazo que no exceda de diez días, remita certificación o fotocopia adverada de las actuaciones correspondientes al procedimiento de ejecución hipotecaria núm. 100-2018; debiendo previamente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esta solicitud de actuaciones, sin perjuicio de la resolución que se acaba de mencionar la Secretaría de Justicia de la Sala Segunda de este Tribunal dictó con fecha 24 de junio de 2019 un oficio, requiriendo al letrado de la administración de justicia del juzgado de primera instancia e instrucción competente, “con el ruego de que disponga lo necesario a fin de que, a la mayor brevedad posible, remita a esta Sala certificación acreditativa de la interposición o no de recurso de apelación contra alguna de las resoluciones dictadas en las actuaciones principales o en alguna pieza separada en el procedimiento de ejecución hipotecaria seguido en ese juzgado con el número 100-2018, y si ha recaído resolución se remita a esta Sala testimonio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Hasta esta fecha no se ha recibido respuesta escrita a ese requerimiento, ni han llegado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Cuarta de este Tribunal en la misma fecha de la admisión del recurso, el 17 de junio de 2019,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entidad recurrente presentó su escrito de alegaciones con fecha 25 de junio de 2019, interesando se acceda a lo solicitado en cuanto a la suspensión del procedimiento de ejecución hipotecaria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alega que la continuación de tal procedimiento, “con la celebración de subasta y la eventual adjudicación a terceros harían perder al recurso de amparo su finalidad y provocarían perjuicios patrimoniales para mi representada de imposible o difícil reparación”. Invoca a su favor lo resuelto por este Tribunal en su ATC (287/2013) de 16 de diciembre de 2013, reiterando a renglón seguido las vulneraciones constitucionales de fondo que aduce en su demanda, e indicando que el celebrarse la subasta y la posible adjudicación del bien inmueble a terceros de buena fe, con “desposesión del bien ejecutado, conllevaría a situaciones irreversibles, con un inevitable perjuicio para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fiscal ante este Tribunal Constitucional formalizó su escrito de alegaciones en esta pieza el 4 de julio de 2019, interesando que se adopte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cita del art. 56.2 LOTC y reproducir lo declarado en el ATC 127/2015, de 20 de julio, FJ 1, en relación con la necesidad de acreditar por el interesado la existencia de un perjuicio irreparable, para poder acordarse la suspensión de los actos impugnados en amparo, sostiene el Fiscal que en el presente caso, la “suspensión solicitada comportaría la paralización del procedimiento ejecutivo que, por su propia naturaleza, goza de las características de celeridad y sumariedad pero, también es obvio que, de continuar el procedimiento este acabará con la subasta del bien hipotecado y con la eventual adjudicación a un tercero de buena fe lo que haría irreversible esa situación aun cuando el amparo solicitado prosperara. Para conseguir el efecto protector deseado por la recurrente y enervar los indeseados efectos de la paralización del procedimiento, se puede acordar la anotación preventiva de la demanda de amparo en el registro de la propiedad, ya que de esta manera se daría publicidad frente a terceros de la pendencia del recurso, lo que conlleva el conocimiento de los efectos que sobre la titularidad de la vivienda puede tener el otorgamiento del amparo en su caso, evitando que el hipotético adquirente queda especialmente protegido por su buena fe en la adquisición”. Cita en apoyo de su petición el art. 56.3 LOTC, que permite al Tribunal adoptar toda medida que evite que el recurso de amparo pueda perder su finalidad, así como el ATC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finalmente en que es procedente la medida de anotación preventiva, pues de lo contrario “la tutela que pudiera otorgarse por este tribunal no sería completa si se deja abierta la posibilidad de que la finca sea transmitida a tercero de buena fe mientras se sustancia y resuelve el presente proceso de amparo, por lo que se interesa” su adopción.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100-2018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100-2018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