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5783-2018,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noviembre de 2018, la entidad Euroinversiones Inmobiliarias Costa Sur, S.L., representada por la procuradora de los Tribunales doña Blanca Berriatua Horta y bajo la dirección del letrado don Marcelino Gilabert Costa, interpuso recurso de amparo contra los autos dictados por el Juzgado de Primera Instancia e Instrucción núm. 3 de Lorca en el procedimiento de ejecución hipotecaria núm. 102-2018 en fechas 3 de julio y 26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las sociedades demandadas. El citado auto y el decreto de la misma fecha que le fueron comunicados a las citadas entidades a través de la sede judicial electrónica el día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26 de junio de 2018. Por auto de 3 de julio de 2018 se acordó su inadmisión por presentación extemporánea, tomando como fecha de notificación el 26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abril de 2018 sino el 11 de junio de 2018 y que la comunicación remitida a través de la dirección electrónica habilitada no puede entenderse más que un aviso de puesta a disposición o descarga de su contenido durante un plazo determinado (en el caso desde el 26 de abril al 11 de junio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26 de septiembre de 2018.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si bien “es cierto que la notificación por medios electrónicos efectivamente se realiza cuando el destinatario accede a su contenido”, la recurrente “yerra en el plazo en el que puede acceder a [dicho] contenido a efectos de la práctica de la notificación el cual es de diez días naturales desde la puesta a su disposición y ello por imperativo del artículo 43.2 de la citada Ley 39/2015, de 1 de octubre, del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26 de abril de 2018 hasta el 11 de junio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EHJ/000000102/2018’”.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2019 la Sección Primera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27 de mayo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4 de junio de 2019, interesa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no aparece muy fundamentada por la propia parte recurrente, resultará más eficaz la anotación preventiva de la demanda en el registro de la propiedad mediante la que se evitaría que un hipotético tercer adquirente del inmueble hipotecado quede especialmente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21 de junio de 2019 se acordó, conforme a lo dispuesto en el art. 56 LOTC, dar audiencia por tres días a Banco de Sabadell, S.A., representado por la procuradora doña Blanca María Grande Pesquero, por haberse personado en las actuaciones principales. Esta parte ha presentado escrito en que solicita la denegación de la suspensión ya que, a su juicio, la demandante de amparo no ha acreditado ningún tipo de perjuicio que pueda considerarse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