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15 de julio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6021-2018, promovido por Euroinversiones Inmobiliarias Costa Sur, S.L., en pleito civil,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15 de noviembre de 2018, tuvo entrada en el registro general de este Tribunal Constitucional un escrito de la procuradora doña Blanca Berriatua Horta, en representación de la entidad Euroinversiones Inmobiliarias Costa Sur, S.L., por el que interpuso recurso de amparo contra el auto de 3 de septiembre de 2018 del Juzgado de Primera Instancia e Instrucción núm. 3 de Lorca, que inadmitió el escrito de oposición a la ejecución hipotecaria promovida por Banco de Sabadell, S.A., y contra el auto del mismo juzgado, de 28 de septiembre de 2018,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3 de septiembre de 2018, el juzgado de primera instancia e instrucción dictó un auto en el procedimiento de ejecución hipotecaria núm. 99-2018 por el que acordó: “Inadmitir a trámite la oposición formulada por la parte ejecutada Penrei Inversiones, S.L., y Euro Inversiones Inmobiliarias Costa Sur, S.L.”,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de la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28 de septiembre de 2018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siendo indiscutible la condición de personas jurídicas de las recurrentes, las mismas desde el 1 de enero de 2017 (disposición transitoria cuarta de la Ley 42/2015, de 5 de octubre, de reforma de la Ley de enjuiciamiento civil) están obligadas a relacionarse con la Administración de Justicia por medios electrónicos [art. 14. 2 a) de la Ley 39/2015 LPAAP y art. 273. 3 a) LEC].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Interpretan las recurrentes de forma errónea la normativa aplicable. Es cierto que la notificación por medios electrónicos efectivamente se realiza cuando el destinatario accede a su contenido. Ahora bien, hierran en el plazo en el que puede acceder a su contenido a efectos de la práctica de la notificación, el cual es de diez días naturales desde la puesta a su disposición y ello por imperativo del art. 43 de la citada LPACAP (Ley 30/15). Así dice el artículo 43. 2 de la citada ley que ‘las notificaciones por medios electrónicos se entenderán practicadas en el momento en que se produzca el acceso a su contenido. Cuando la notificación por medios electrónicos sea de carácter obligatorio, o haya sido expresamente elegida por el interesado, se entenderá rechazada cuando hayan transcurrido diez días naturales desde la puesta a disposición de la notificación sin que se acceda a su contenido.’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24 de mayo de 2018 no accediendo al contenido hasta el día 9 de julio de 2018 (fuera de los diez días naturales), presentando los escritos de oposición a la ejecución en fecha 24 de julio de 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saber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aquélla “no ha tenido ninguna relación con el juzgado correspondiente en este especial y concreto procedimiento”, ha de practicarse mediante cédula con entrega en papel de la documentación correspondiente, conforme establece el art. 273 LEC, en relación con los arts. 135, 152, 162 y 155 de la misma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Pese a todo esto, el auto dictado por el juzgado el 3 de septiembre de 2018 declaró extemporánea la presentación del escrito de oposición, computando el plazo de diez días desde la fecha de envío de aquel correo a través de la dirección electrónica habilitada.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del 28 de septiembre siguiente que desestimó la reposición, se rechaza por la recurrente que haya fundamentado su decisión en la ley de procedimiento administrativo común, “que consideramos inaplicable al ámbito procesal civil, puesto que además de existir normas concretas al respecto, no se dan en uno y otro ámbito las mismas garantías procedimentales”; siendo que en materia de notificación de actos procesales existe su propia normativa tanto en la Ley de enjuiciamiento civil —los artículos arriba citados—, como en el haz de garantías del propio art. 24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aquéllas, a fin de que el juzgado a quo admita a trámite la “demanda de oposición al despacho de ejecución formulada por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 de los pronunciamientos judiciales que han sido objeto de impugnación, con la celebración de subasta y la eventual adjudicación a terceros, pueden hacer perder al recurso de amparo si finalidad, por lo que solicito la suspensión de la continuación del procedimiento de ejecución hipotecaria 99-2018 seguido ante el Juzgado de Primer Instancia e Instrucción número 3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9 de abril de 2019 se presentó escrito por la representación procesal de la entidad recurrente, manifestando que puesto que este Tribunal no se había pronunciado todavía sobre la solicitud de suspensión de la continuación del proceso de ejecución hipotecaria 99-2018, instada en el segundo otrosí del escrito de demanda, “y dado que se ha dictado en el procedimiento Decreto por el que se acuerda sacar a pública subasta el bien ejecutado, nuevamente volvemos a solicitar al Alto Tribunal dado que la continuación de la ejecución derivadas de los pronunciamientos judiciales que han sido objeto de impugnación, con la celebración de subasta y eventual adjudicación a terceros, pueden hacer perder al recurso de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dicho escrito se acompañó copia de un decreto del letrado de la administración de justicia del juzgado a quo, de fecha 21 de febrero de 2019, por el que se aprueba sacar a la venta en pública subasta -a través del portal electrónico de la agencia estatal “BOE”— la vivienda objeto de ejecución en dicho procedimiento hipotecario; decreto que resultó parcialmente corregido por otro dictado por el mismo letrado el 20 de marzo de 2019 (a fin de añadir sesenta céntimos al importe de valoración de la finca: 213.514,60 €), del que también se aportó copia.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Sala Segunda, Sección Cuarta, de este Tribunal Constitucional, dictó providencia el 17 de junio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porque el recurso plantea un problema o afecta a una faceta de un derecho fundamental sobre el que no hay doctrina de este Tribunal [STC 155/2009, FJ 2 a)], así como que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al Juzgado de Primera Instancia e Instrucción núm. 3 de Lorca a fin de que, en plazo que no exceda de diez días, remita certificación o fotocopia adverada de las actuaciones correspondientes al procedimiento de ejecución hipotecaria núm. 99-2018; debiendo previamente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esta solicitud de actuaciones, sin perjuicio de la resolución que se acaba de mencionar la Secretaría de Justicia de la Sala Segunda de este Tribunal dictó con fecha 24 de junio de 2019 un oficio, requiriendo al letrado de la administración de justicia del juzgado de primera instancia e instrucción competente, “con el ruego de que disponga lo necesario a fin de que, a la mayor brevedad posible, remita a esta Sala certificación acreditativa de la interposición o no de recurso de apelación contra alguna de las resoluciones dictadas en las actuaciones principales o en alguna pieza separada en el procedimiento de ejecución hipotecaria seguido en ese juzgado con el número 99-2018, y si ha recaído resolución se remita a esta Sala testimonio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Hasta esta fecha no se ha recibido respuesta escrita a ese requerimiento, ni han llegado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dictada por la Sección Cuarta de este Tribunal en la misma fecha de la admisión del recurso, el 17 de junio de 2019, se dispuso “formar con la precedente fotocopia, la oportuna pieza para la tramitación del incidente sobre suspensión y conforme determina el artículo 56 de la Ley Orgánica de este Tribunal, conceder un plazo común de 3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entidad recurrente presentó su escrito de alegaciones con fecha 25 de junio de 2019,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harían perder al recurso de amparo su finalidad y provocarían perjuicios patrimoniales para mi representada de imposible o difícil reparación”. Invoca a su favor lo resuelto por este Tribunal en su ATC (287/2013) de 16 de diciembre de 2013, reiterando a renglón seguido las vulneraciones constitucionales de fondo que aduce en su demanda, e indicando que el celebrarse la subasta y la posible adjudicación del bien inmueble a terceros de buena fe, con “desposesión del bien ejecutado, conllevaría 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fiscal ante este Tribunal Constitucional formalizó su escrito de alegaciones en esta pieza el 1 de julio de 2019, interesando que adoptemos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56.2 LOTC y reproducir lo declarado en el ATC 127/2015, de 20 de julio (cita por error 27 de julio), FJ 1, en relación con la necesidad de acreditar por el interesado la existencia de un perjuicio irreparable, para poder acordarse la suspensión de los actos impugnados en amparo, sostiene el fiscal que en el presente caso, la “suspensión solicitada comportaría la paralización del procedimiento ejecutivo que, por su propia naturaleza, goza de las características de celeridad y sumariedad pero, también es obvio que, de continuar el procedimiento este acabará con la subasta del bien hipotecado y con la eventual adjudicación a un tercero de buena fe lo que haría irreversible esa situación aun cuando el amparo solicitado prosperara. Para conseguir el efecto protector deseado por la recurrente y enervar los indeseados efectos de la paralización del procedimiento, se puede acordar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adquirente queda especialmente protegido por su buena fe en la adquisición”. Cita en apoyo de su petición el art. 56.3 LOTC, que permite al Tribunal adoptar toda medida que evite que el recurso de amparo pueda perder su finalidad, así como el ATC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Insiste finalmente en que es procedente la medida de anotación preventiva, pues de lo contrario “la tutela que pudiera otorgarse por este tribunal no sería completa si se deja abierta la posibilidad de que la finca sea transmitida a tercero de buena fe mientras se sustancia y resuelve el presente proceso de amparo, por lo que se interesa” su adopción.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99-2018 seguido en el Juzgado de Primera Instancia e Instrucción núm. 3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De las actuaciones judiciales que han sido remitidas por el Juzgado se desprende que el procedimiento se encuentra pendiente de la celebración de la subasta y que el inmueble sobre el que se sigue la ejecución, si bien se trata de una vivienda, no se ha alegado ni acreditado que sirva de domicilio social de la entidad demandante.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y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99-2018 seguido en el Juzgado de Primera Instancia e Instrucción núm. 3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julio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