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1584-2019,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marzo de 2019,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6 de Lorca en el procedimiento de ejecución hipotecaria núm. 66-2018 en fechas 19 de septiembre de 2018 y 22 de enero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66-2018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abril de 2018 se acordó despachar ejecución frente las sociedades demandadas. El citado auto y el decreto de la misma fecha que le sigue fueron comunicados a las citadas entidades a través de la sede judicial electrónica el día 21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28 de agosto de 2018. Por auto de 19 de septiembre de 2018 se acordó su inadmisión por presentación extemporánea, tomando como fecha de notificación el 21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21 de junio de 2018 sino el 6 de agosto de 2018, y que la comunicación remitida a través de la dirección electrónica habilitada no podía entenderse más que un aviso de puesta a disposición o descarga de su contenido durante un plazo determinado (en el caso desde el 21 de junio al 06 de agosto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22 de enero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33.2 y 34 de la Ley 18/2011, de 5 de julio, reguladora del uso de las tecnologías de la información y la comunicación en la Administración de Justicia y en el art. 11.2 del Real Decreto 1065/2015, de 27 de noviembre sobre comunicaciones electrónicas en la Administración de Justicia en el ámbito territorial del Ministerio de Justicia y por el que se regula el sistema LexNET. Según el Auto, “en el presente caso, consta que la notificación se puso a disposición de las recurrentes en fecha 21 de junio de 2018 no accediendo al contenido hasta el día 27 de julio de 2018 (fuera de los tres días que establece la normativa procesal), presentando los escritos de oposición a la ejecución en fecha 27-08-18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 Inversiones Inmobiliarias Costa Sur S.L., — NIFB73258006.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21 de junio de 2018 hasta el 06 de agosto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6 DE LORCA EJH/0000066/2018”.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Primera de este Tribunal acordó admitir a trámite el recurso de amparo y dirigir comunicación al Juzgado de Primera Instancia e Instrucción núm. 6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20 de junio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66-2018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medida suficiente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66-2018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