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Presidente, don Antonio Narváez Rodríguez y don Ricardo Enríquez Sancho, en el recurso de amparo núm. 4582-2018, promovido por don Francisco Benavente Romero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septiembre de 2018, tuvo entrada en el registro general de este Tribunal Constitucional un escrito del procurador don Valentín Ganuza Ferreo, actuando en representación de don Francisco Benavente Romero, por el que interpuso recurso de amparo contra la sentencia de la Sección Segunda de la Audiencia Provincial de Murcia, de 17 de mayo de 2017, que condenó al recurrente a diversas penas y obligaciones dinerarias, y contra el auto de la Sala Segunda del Tribunal Supremo, de 12 de abril de 2018, que inadmitió a trámite el recurso de casación promovido contra aquella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17 de mayo de 2017, la Audiencia Provincial de Murcia, Sección Segunda, dictó sentencia en única instancia (procedimiento abreviado núm. 44-2015) cuya parte dispositiva dispuso: “Que debemos condenar y condenamos a Francisco Benavente Romero como autor criminalmente responsable de un delito de estafa impropia del artículo 251.2 del Código Penal, sin la concurrencia de circunstancias modificativas, a la pena de dos años de prisión, accesoria legal de inhabilitación especial para el ejercicio del derecho de sufragio pasivo durante el tiempo de condena, con expresa condena en costas procesales con inclusión de las de la acusación particular, condenándole como le condenamos a que indemnice a Santiago Ramírez Benavente en la suma de 77.000 € más los intereses dispuestos en el artículo 576 de la LEC, con expresa condena en costas procesales con inclusión de las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por la defensa recurso de casación articulado en siete motivos, alegando en algunos de ellos la vulneración de los derechos fundamentales a la tutela judicial efectiva (art. 24.1 CE) y a un proceso con todas las garantías (art. 24.2 CE), la Sala Segunda del Tribunal Supremo dictó auto el 12 de abril de 2018 (recurso núm. 2993-2017), conteniendo la dispositiva siguiente: “la Sala acuerda: no haber lugar a la 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alegó las siguientes quejas: (i) en primer lugar, la vulneración del “derecho a un proceso con todas las garantías” (art. 24.2 CE), dado que “la grabación reproducida en el acto del juicio oral no constituye una prueba legalmente practicada y constitucionalmente obtenida, no siendo, por tanto, prueba de cargo válida, eficaz y suficiente para enervar el principio de presunción de inocencia”. Se refiere a la grabación de una “supuesta conversación” —en palabras de la demanda— sostenida por el recurrente con el querellante y sus familiares presentes en aquel encuentro previamente concertado, donde el acusado habría reconocido los hechos según las resoluciones impugnadas, en todo caso ignorando que dicha conversación “privada” estaba siendo registrada. En concreto, alega la demanda que se vulnera el derecho fundamental a no declarar contra sí mismo y a no confesarse culpable (art. 24.2 CE), al ser utilizada como prueba de cargo para su condena. Añade que se desconocen las condiciones en que se produjo la grabación, ni quién la realizó, o la volcó después a un formato CD, o quién la entregó al letrado de la acusación, afirmando éste que le llegó el día antes de la celebración de la vista oral, impidiendo así el ejercicio del derecho de contradicción del recurrente, con resultado de indefensión. La grabación ha servido para acreditar el elemento subjetivo del tipo penal aplicado, remacha, pese a ser una prueba vulneradora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La segunda queja fue la de lesión del “derecho a un proceso con todas las garantías” (art. 24.2 CE), ahora por “violación del principio acusatorio, al calificar las acusaciones los hechos como un delito de estafa del art. 250 CP, siendo mi patrocinado finalmente condenado por el art. 251.2 CP, no apreciando homogeneidad material entre ambos preceptos”. Cita en su apoyo jurisprudencia de la Sala Segunda del Tribunal Supremo sobre los elementos constitutivos de ambos delitos, de donde extrae la a su parecer falta de homogeneidad que exigía haberse formulado acusación específica del delito por el que se le condenó.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Y en tercer y último lugar adujo la vulneración del “derecho a un proceso con todas las garantías” (art. 24.2 CE), “por no haber procedido a la aplicación de [la] atenuante por dilaciones indebidas como muy cualificada en conexión con lo dispuesto en los arts. 66 y 21.6 del Código Penal”; queja que cabe reconducir por su contenido a la del derecho a la tutela judicial efectiva (art. 24.1 CE), en su vertiente de derecho a una resolución jurídicamente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de la demanda, se alegó finalmente lo que sigue: “que, dado que, por la naturaleza de la condena, privativa de libertad, su ejecución haría perder al amparo su finalidad y, según lo establecido por el art. 56 LOTC, al Tribunal suplico que se suspenda la ejecución de la sentencia impugnada, notificándolo al órgano judicial que la dictó”.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dictó providencia el 2 de julio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toda vez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 la Sala Segunda del Tribunal Supremo a fin de que, en plazo que no exceda de diez días, remita certificación o fotocopia adverada de las actuaciones correspondientes al recurso de casación num. 2993-2017.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igualmente atenta comunicación a la Sección Segunda de la Audiencia Provincial de Murcia a fin de que, en plazo que no exceda de diez días, remita certificación o fotocopia adverada de las actuaciones correspondientes al rollo P.A. (…);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2 de julio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fiscal jefe ante este Tribunal Constitucional formalizó su escrito de alegaciones el 17 de julio de 2019, interesando “que sea suspendida la ejecución de la pena privativa de libertad y de la accesoria de inhabilitación impuestas y se deniegue la suspensión del resto de los pronunciamientos condenatorios”.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respaldo a esta solicitud y luego de resumir los antecedentes del caso, invoca y reproduce en parte el fundamento jurídico 1 del ATC 36/2019, de 20 de mayo (por error, identificado como ATC 20/2019), en relación con el tenor del art. 56.1 de nuestra Ley Orgánica reguladora, así como también los fundamentos jurídicos 2 y 3 del ATC 93/2018, de 17 de septiembre, continente de la doctrina de este Tribunal sobre la suspensión de penas privativas de libertad, de la pena accesoria de inhabilitación especial para el ejercicio del derecho de sufragio pasivo, y de aquellos pronunciamientos de condena (penal o civil) de naturaleza patrimonial que pueda traer también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doctrina de referencia ha de conducir entonces, prosigue diciendo, a que se suspenda la pena de prisión de dos años que se le impuso, “dado el tiempo que se consuma normalmente en la tramitación del recurso de amparo” y para que “los efectos de su eventual concesión no sean meramente ilusorios, no desprendiéndose, por el contrario, que de su suspensión se siga perturbación grave a un interés constitucionalmente protegido ni a los derechos fundamentales o libertades públicas de otra persona”. Respecto de la pena accesoria de inhabilitación especial para el ejercicio del derecho de sufragio pasivo durante el tiempo de la condena, pide también su suspensión con arreglo a aquella misma doctrina, al seguir la suerte de la pena principal a estos efectos procesales. Y se opone por último a que se suspenda el pago de la indemnización y el de las costas procesales, “por no producir daños irreparables o de muy difícil reparación, al ser susceptibles de restitución íntegra”.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 consta que el representante procesal del recurrente en amparo haya presentado alegaciones en la presente pieza incidental.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la parte recurrente en amparo ha formulado en un otrosí digo de su demanda la solicitud de suspensión en concreto de la ejecución de la pena privativa de libertad de dos años que le fue impuesta por sentencia de la Audiencia Provincial de Murcia, y que confirmó en casación por auto la Sala Segunda del Tribunal Supremo; resoluciones ambas impugnadas en este proceso. A continuación, sin embargo, ha pedido en el mismo escrito la suspensión “de la sentencia” sin más precisiones, lo que alcanzaría también a los demás pronunciamientos incluidos en la dispositiva de ésta: la pena accesoria de inhabilitación especial para el ejercicio del derecho de sufragio pasivo por el tiempo de la condena, el pago de una indemnización dineraria al acusador privado, y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esta cierta contradicción de los términos, y a que la parte ha desaprovechado la oportunidad que le brindaba la apertura de este procedimiento incidental para formalizar alegaciones, procedemos a dar por hecha la solicitud de suspensión respecto de todos los pronunciamientos de la sentencia de condena, en orden a colmar sus posibilidades de tutela. La fiscal jefe ante este Tribunal Constitucional, quien sí ha presentado escrito de alegaciones en la pieza, apoya la solicitud de suspensión de las dos penas indicadas, y rechaza que se acuerde la misma medida en cuanto a los demás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planteado el debate, resulta de aplicación la doctrina contenida en nuestro ATC 34/2016, de 15 de febrero, FFJJ 2 a 4, donde con cita del anterior ATC 198/2014, FJ 2, se resuelve una pretensión sustancialmente similar a la que ahora nos ocupa. Declaramos en aquel primer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[C]uando se trata de la suspensión de penas de prisión, se ha venido reiterando doctrina en virtud de la cual: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general, sin embargo, se ha excepcionado en dos situaciones singulares donde, pese a ponderarse que concurren en el caso los requisitos necesarios para decretar la suspensión, la misma se deniega por carecer la medida de verdadera eficacia práctica. Así sucede: a) cuando la pena de la que se solicita la suspensión tiene fijada una fecha futura de inicio de cumplimiento, respecto de la cual resulta previsible que se haya dictado para entonces la sentencia resolutoria del amparo (ATC 42/2008, de 11 de febrero, FJ 2), y b) si la persona debiera continuar en prisión en todo caso, en virtud del cumplimiento de otra ejecutoria anterior (ATC 486/1983, de 19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concierne a la suspensión de las penas privativas de libertad […], ha de accederse a lo solicitado, con respaldo en este punto del ministerio fiscal. La extensión total de la indicada pena, dos años de prisión en total […], teniendo en cuenta el tiempo que requerirá la tramitación de este proceso de amparo y su resolución por la Sala, podría ocasionar un perjuicio irreparable de no suspenderse su cumplimiento, lo que haría perder gran parte, sino toda, la eficacia de un eventual fallo estimatorio del recurso; teniendo en cuenta además que no se produce ninguna perturbación grave de los intereses generales, ni la afectación a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decisión de suspender ha de acordarse también en cuanto a la pena accesoria de inhabilitación especial para el ejercicio del derecho de sufragio pasivo durante el tiempo de la condena de prisión, conforme reiterada doctrina del Tribunal que determina que la pena accesoria siga la suerte de la pena principal, respecto de lo que se haya acordado sobre ésta en el incidente de suspensión (por todos, ATC 291/2014, de 1 de diciembre, FJ 3, con cita de otros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no procede suspender […] [el] pago de la indemnización por responsabilidad civil ex delicto [...] y el de las costas procesales causadas […]; tienen un contenido patrimonial y por tanto, por su naturaleza, no producen daño irreparable o de muy difícil reparación (entre otros, AATC 386/2008, de 15 de diciembre, FJ 3; 156/2009 y 157/2009, ambos de 18 de mayo, FJ 3; 18/2011, de 28 de febrero, FJ 4, y 16/2012, de 30 de enero, FFJJ 2 y 3). Para que en el caso concreto pudiera estimarse otra cosa habría sido necesario que […], bien en el otrosí digo de su demanda de amparo, bien en el escrito de alegaciones abierto dentro de la pieza de suspensión, hubiesen fundamentado verosímilmente la imposibilidad de reparación (ATC 117/2004, de 19 de abril, FJ 4). Extremo sobre el que sin embargo no se pronuncian […]. El incumplimiento de la carga de alegación […] conduce a desestimar su solicitud de suspensión respecto de las mismas (por ejemplo, AATC 56/2009, de 23 de febrero, FJ 2, y 124/2012,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entre otros, los posteriores AATC 35/2017, de 27 de febrero, FFJJ 1 y 2; 52/2017, de 18 de abril, FJ 2, y 93/2018, de 17 de septiembre, FFJJ 1 a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por tanto estimar parcialmente la solicitud formulada por el demandante de amparo, debiendo acordarse la suspensión de la pena privativa de libertad de dos años, así como también la suspensión de la pena accesoria de inhabilitación especial para el ejercicio del derecho de sufragio pasivo por el tiempo de la condena, impuestas por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sentido contrario, huérfana de cualquier argumentación por el recurrente que explique su posible carácter irreparable, se deniega la suspensión tanto de la indemnización resarcitoria (77.000 € más los intereses de mora del art. 576 de la Ley de enjuiciamiento civil), como del pago de las costas del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 la Sección Segunda de la Audiencia Provincial de Murcia recurrida, única y exclusivamente en cuanto a la imposición de la pena de prisión de dos años y de la pena accesoria de inhabilitación especial para el ejercicio del derecho de sufragio pasivo durante el tiempo de la condena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