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2570-2018, promovido por don Ramón Constantino Arias García,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mayo de 2018, el procurador de los tribunales don Benigno González González, en nombre y representación de don Ramón Constantino Arias García, y bajo la dirección del letrado don Jaime Carvajal González, interpuso recurso de amparo contra el auto del Juzgado de Primera Instancia e Instrucción núm. 3 de Siero núm. 77-2018, de 16 de marzo, por el que se desestima el incidente de nulidad actuaciones en el procedimiento de ejecución de títulos no judiciales núm. 151-2015.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de títulos no judiciales del que trae causa el presente amparo alegando que su continuación haría perder al amparo su finalidad “dado que con el mismo la entidad bancaria ejecutante en el mismo viene percibiendo cantidades que no le corresponderían en caso de acordarse la revisión de oficio de las cláusulas abusivas y declararse la nulidad de las mismas, así como lo gravoso que el mismo resulta con la adopción de trabas y embargos acordados en tal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15 de julio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29 de julio de 2019, presentó alegaciones interesando la denegación de la suspensión solicitada argumentando, tras enunciar la jurisprudencia constitucional sobre el particular, que el recurrente se ha limitado a pedir la suspensión de un procedimiento de ejecución de un préstamo personal, “en el que no nos consta que se hayan tomado medidas judiciales ninguna que afecte a la propiedad de bienes inmuebles, limitándose a ejecutar por unas cantidades impagadas. Se trata de decisiones de carácter puramente económico que es perfectamente restituible por el banco en el caso de que se diere lugar al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31 de julio de 2019, presentó alegaciones reiterando la solicitud de suspensión y que esta se acuerde sin establecer fianza o caución alguna, ya que está en una difícil situación económica que ha llevado a que le fuera concedido el derecho a la asistencia jurídica gratuita. Adjunta con el escrito documentación acreditativa de los diversos embargos acordados en relación con las cantidades pendientes de percibir en distintos procedimientos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manera reiterada en interpretación de este precepto que (i)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(ii)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y (iii) en lo que se refiere a la ejecución de los pronunciamientos con efectos fundamentalmente patrimoniales o de contenido económico, este Tribunal ha consagrado que, con carácter general, ni causa un perjuicio irreparable al obligado al pago, ni puede hacer perder al amparo su finalidad, al ser posible la restitución íntegra de lo ejecutado. De ese modo, solo se ha accedido a la suspensión en supuestos excepcionales en los que la ejecución de las resoluciones recurridas en amparo acarrearía perjuicios económicos muy difícilmente reparables por su entidad o por la irreversibilidad de las situaciones jurídicas que puedan producirse (así, por ejemplo, ATC 194/2016, de 28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ha expuesto en los antecedentes, la suspensión que se solicita es de exclusivo carácter económico, ya que lo es en relación con la ejecución del embargo de determinadas cantidades que el recurrente tenía pendientes de percibir en distintos procedimientos judiciales. Por otra parte, el recurrente se ha limitado a fundamentar el perjuicio irreparable que esta ejecución le supone (i) en que con dicha ejecución la entidad bancaria ejecutante viene percibiendo cantidades que no le corresponderían en caso de acordarse la revisión de oficio de las cláusulas abusivas y declararse la nulidad de las mismas; (ii) en lo gravoso que le resulta el hecho de la adopción de trabas y embargos acordados en tal procedimiento y, (iii) añadiendo en su escrito de alegaciones, que le ha sido reconocido el derecho a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respecto de la primera cuestión, no es posible hacer pronunciamiento alguno en esta pieza de suspensión por ser la cuestión de fondo objeto de la controversia, de la que no puede depender la medida cautelar, definida en su objeto y requisitos en el art. 56 LOTC. Respecto de la segunda, siendo la ejecución de mero contenido económico, la argumentación del recurrente no pone de manifiesto la concurrencia de excepcionales circunstancias vinculadas a la irreparabilidad de los perjuicios económicos que se pudieran estar irrogando con la ejecución, siendo insuficiente, a los efectos de desarrollar el esfuerzo argumental necesario para poner de manifiesto a este Tribunal cómo repercutiría la ejecución en el patrimonio de la obligada al pago, la mera alegación de haber obtenido recientemente el derecho a la asistencia jurídica gratuita, especialmente tomando en consideración que los embargos acreditados están recayendo sobre cantidades que van obteniéndose por el recurrente en otros procedimientos judiciales que tiene entablados.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