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98</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16 de septiembre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3431-2018, promovido por don Luis Alfredo Carvajal Estrada,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15 de junio de 2018, don Luis Alfredo Carvajal Estrada, representado por la procuradora de los tribunales doña María Teresa Marcos Moreno y bajo la dirección del letrado don Juan Carlos Rois Alonso, interpuso recurso de amparo contra el auto de 8 de mayo de 2018 del Juzgado de Primera Instancia e Instrucción núm. 3 de Illescas, dictado en el procedimiento de ejecución hipotecaria núm. 720-2012, por el que se inadmitió 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entidad de crédito Caixa d`Estalvis Laietana presentó demanda de ejecución dineraria sobre bienes hipotecados respecto de una finca situada en la calle Ciudad Real número 30 de Palomeque (Toledo), contra el ahora demandante de amparo y doña Amparo Lourdes Guishcamaigua Guanotuña por impago de amortizaciones parciales e intereses pactados del préstamo garantizado con hipoteca para la adquisición de la mencionada finca, procediendo al vencimiento anticipado y exigiendo el pago de la cantidad de 194 953,11 €.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31 de julio de 2013 se dictó auto de ejecución general, requiriendo de pago al deudor, lo que se instrumentó en decreto de la misma fecha, expidiéndose el correspondiente mandamiento al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citado auto y el decreto de la misma fecha no se pudieron notificar personalmente al deudor por encontrarse la vivienda abandonada. Tras realizarse la pertinente averiguación patrimonial se notificaron por edictos, al amparo de lo previsto en el artículo 686.3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diligencia de 28 de octubre de 2014 se acordó sacar la vivienda a pública subasta, fijándose como fecha el 20 de febrero de 2015. Al no comparecer ningún licitador, la entidad de crédito solicitó la adjudicación de la finca por el 70 por 100 de la tasación, lo que se acordó por decreto de 26 de marzo de 2015, que se notificó a doña Amparo Lourdes Guishcamaigua Guanotuña.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 fecha de 9 de junio de 2016 la comisión judicial se desplazó para el lanzamiento y puesta en posesión del inmueble en favor de la adjudicataria.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demandante de amparo, mediante comparecencia en el juzgado, solicitó que se dejara sin efecto el lanzamiento y la suspensión de las actuaciones, todo ello por falta de notificación.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decreto de 17 de junio de 2016 se acordó dar traslado a las partes para oírles, respecto a la posible nulidad de actuaciones del acto de lanzamiento y toma de posesión del inmueble. Por decreto de 22 de junio de 2016 se acordó dicha suspensión mientras se tramitaba la correspondiente solicitud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20 de febrero de 2017 ambos ejecutados presentaron escrito de nulidad de actuaciones alegando que la citación y notificación del lanzamiento no se había llevado a cabo de manera personal sino por edictos, contraviniendo en su opinión lo que establece el Tribunal Constitucional en esta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auto de 10 de mayo de 2017 se dejó sin efecto el lanzamiento. Este auto fue notificado el 10 de noviembre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7 de julio de 2017 se instó un nuevo incidente de nulidad de actuaciones y el 20 de noviembre se presentó un escrito en términos similares, que fueron proveídos conjuntamente.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Por auto de 8 de mayo de 2018 se acordó no haber lugar a la nulidad de actuaciones solicitada. Afirma el auto que “intentadas las notificaciones a los ejecutados en la vivienda objeto de ejecución hipotecaria, las mismas no fueron recepcionadas por la parte ejecutada, constando en autos como la parte ejecutante puso de manifiesto al Juzgado que el domicilio objeto de las pretendidas notificaciones se hallaba abandonado, lo cual fue conformado por la Agrupación de juzgados de Paz de Yuncos (Toledo)”, por lo que se acudió a la vía edictal. En cuanto al resto de las alegaciones, considera el auto que no cabe entrar en su análisis, “pues se trata de verdaderas causas de oposición a la ejecución, siendo la misma absolutamente extemporánea, dado el estadio procesal en el que nos encontramos. Las cláusulas cuya abusividad se pretende, no presentan caracteres que permitan, aun menos en este estadio procesal, la declaración de abusividad de oficio, debiendo continuar la tramitación de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en su recurso vulneración del derecho a la tutela judicial efectiva, en su vertiente de derecho de acceso a la justicia, por cuanto se ha vulnerado el derecho del ejecutado a obtener del juzgador, en el curso de un procedimiento de ejecución hipotecaria, un pronunciamiento expreso sobre las cláusulas abusivas. Alega también indefensión por defectuosa notificación de la demanda pues no se le notificó personalmente.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dicha ejecución haría perder al amparo su finalidad. Alega que de proseguirse con la ejecución resultaría que en un breve espacio de tiempo el recurrente se vería lanzado de su domicilio, objeto del proceso hipotecario, y privado de su derecho a la vivienda, con lo que el amparo que se interesa, que tiene que ver con la nulidad de una cláusula abusiva en el contrato hipotecario que ha valido de fundamento a la propia ejecución emprendida, se vería vacío de contenido. Afirma que la ejecución de la resolución causaría un perjuicio irreparable, privando al amparo solicitado de su finalidad última de impedir la ejecución que se pretende de contrario y la pérdida de la vivienda, pues no sería posible reponerle en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la suspensión no supone perturbación grave para los intereses generales, toda vez que este proceso viene a reforzar el marco de garantías de los ciudadanos en su condición de consumidores y no genera ningún daño grave a los derechos o libertades de terceros por cuanto el recurrente sigue ocupando en la actualidad su vivienda y el adjudicatario de la misma es el propio banco.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julio de 2019 la Sección Primera de este Tribunal acordó admitir a trámite el recurso de amparo y dirigir comunicación al Juzgado de Primera Instancia e Instrucción núm. 3 de Illescas, a fin de que, en el plazo de diez días, remitiera certificación o fotocopia adverada de las actuaciones correspondientes a los autos de ejecución hipotecaria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18 de julio de 2019, la parte demandante formuló sus alegaciones, reiterando lo dicho en el otrosí de su demanda y trascribiendo parte del ATC 58/2018, de 4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26 de julio de 2019, considera que procede acordar la suspensión o alternativamente la anotación de la demanda, aunque esta última no haya sido solicitada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la doctrina de este Tribunal sobre suspensión de resoluciones y actos impugnados, considera que la medida de suspensión está justificada en este caso, pues si se consumara la transmisión de la vivienda al ejecutante o a aquel a quien hubiere cedido su derecho, posteriores transmisiones a título oneroso a terceras personas colocarían al bien en una situación de difícil recuperación, pues lo convertirían en prácticamente irreivindicable. No obstante, señala que, dado el tiempo transcurrido desde que se presentó la demanda de amparo, no es impensable que la diligencia de lanzamiento a día de hoy se haya llevado a término, lo que provocaría que la transmisión se hubiere ya consumado, en cuyo caso acordar la suspensión solicitada no solucionaría los posibles perjuicios que se temen por una actuación de futuro. Por ello, entiende que sería mucho más eficaz para conseguir el efecto protector deseado por el recurrente, la anotación preventiva de la demanda de amparo en el registro de la propiedad, ya que de esta manera se daría publicidad frente a terceros de la pendencia del recurso, lo que conlleva el conocimiento de los efectos que sobre la titularidad de la vivienda puede tener el otorgamiento del amparo en su caso, evitando que el hipotético tercero adquirente quede especialmente protegido por su buena fe en la adquisición.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720-2012 seguido en el Juzgado de Primera Instancia e Instrucción núm. 3 de Illescas.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Estos límites fijados por la Ley Orgánica del Tribunal Constitucional a la suspensión determinan que esta se configure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recurridos que alegue, pruebe o justifique, ofreciendo un principio razonable de prueba, la irreparabilidad o la dificultad de la reparación de los perjuicios que derivarían de seguirse la ejecución del acto impugnado, ya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viene admitiendo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que resulta medida suficiente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del bien a terceros puede hacer perder al recurso de amparo su finalidad, al no añadir indicación alguna sobre su situación y circunstancias actuales así como sobre las características, destino y estado posesorio del inmueble hipotecado. Solo consta que la diligencia de lanzamiento que se intentó llevar a cabo en junio de 2016 quedó suspendida, pero no consta cuál es la situación actual. Aunque pudiéramos pensar, como alega el ministerio fiscal, que dado el tiempo transcurrido desde la interposición del recurso de amparo, 15 de junio de 2018, el lanzamiento de la vivienda se haya podido llevar ya a término, lo cierto es que el recurrente, en su escrito de alegaciones presentado el 17 de julio de 2019, no pone en ningún momento de manifiesto que la transmisión de la vivienda a un tercero se haya consumado, ni que esté pendiente una próxima fecha de lanzamiento, sino que simplemente insiste en solicitar la suspensión de la resolución judicial para evitar que la transmisión de la posesión de la vivienda a un tercero haga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tales circunstancias, no es posible afirmar que la continuación del curso del procedimiento judicial, incluso con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de acuerdo con el ministerio fiscal,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88/2018, de 17 de septiembre, y 2/2019, de 9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el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Procede, por todo ello,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720-2012, seguido en el Juzgado de Primera Instancia e Instrucción núm. 3 de Illescas.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septiembre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