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30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5807-2018,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noviembre de 2018,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3 de Lorca en el procedimiento de ejecución hipotecaria núm. 92-2018, en fechas 27 de junio de 2018 y 26 de septiembre de 2018,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92-2018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abril de 2018 se acordó despachar ejecución frente a las sociedades demandadas. El citado auto y el decreto de la misma fecha que le sigue fueron comunicados a las citadas entidades a través de la sede judicial electrónica el día 26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22 de junio de 2018. Por auto de 27 de junio de 2018 se acordó su inadmisión por presentación extemporánea, tomando como fecha de notificación el 26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26 de abril de 2018, sino el 11 de junio de 2018, y que la comunicación remitida a través de la dirección electrónica habilitada no podía entenderse nada más que como un aviso de puesta a disposición o descarga de su contenido durante un plazo determinado (en el caso desde el 26 de abril al 11 de junio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26 de septiembre de 2018 en sentido desestimatorio, al constatar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procedimiento administrativo común de las administraciones públicas (LPACAP) y 373.3 LEC, y determina que la recurrente yerra “en el plazo en el que puede acceder a su contenido a efectos de la práctica de la notificación, el cual es de diez días naturales desde la puesta a su disposición y ello por imperativo del art. 43 de la citada LPACAP”,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Penrei Inversiones SL - NIF B73836173.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26-04-2018 hasta el 11-06-2018.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 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través de su DEH podrá también consultar notificaciones de otras Administraciones.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núm. 3 de Lorca EJH/0000092/2018”.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Segunda de este Tribunal acordó admitir a trámite el recurso de amparo y dirigir comunicación al Juzgado de Primera Instancia e Instrucción núm. 3 de Lorca, a fin de que se emplazara a quienes hubieran sido parte en el procedimiento, excepto la parte recurrente en amparo, para que en el plazo de diez días pudieran comparecer, si lo desean, en el recurso de amparo, no siendo necesaria la remisión del testimonio de las actuaciones correspondientes a la ejecución hipotecaria núm. 92-2018, al constar solicitadas en el recurso de amparo núm. 5805-2018 de esta misma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26 de junio de 2019,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92-2018,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79/2019, 80/2019 y 81/2019, todos ellos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92-2018,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