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6038-2018,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noviembre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97-2018, en fechas 10 de julio de 2018 y 28 de septiembre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97-2018,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3 de mayo de 2018 se acordó despachar ejecución frente a las sociedades demandadas. El citado auto y el decreto de la misma fecha que le sigue fueron comunicados a las citadas entidades a través de la sede judicial electrónica el día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9 de julio de 2018. Por auto de 10 de julio de 2018 se acordó su inadmisión por presentación extemporánea, tomando como fecha de notificación el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7 de mayo de 2018 sino el 23 de junio de 2018, y que la comunicación remitida a través de la dirección electrónica habilitada no podía entenderse nada más que como un aviso de puesta a disposición o descarga de su contenido durante un plazo determinado (en el caso desde el 8 de mayo al 23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28 de septiembre de 2018 en sentido desestimatorio, al constatar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 NIF 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08-05-2018 hasta el 23-06-2018.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EJH/0000097/2018”.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en el plazo de diez días, remitiera certificación o fotocopia adverada de las actuaciones correspondientes a la ejecución hipotecaria núm. 97-2018; debiendo previamente emplazarse a quienes hubieran sido parte en el procedimiento, excepto la parte recurrente en amparo, para que en el plazo de diez días pudieran comparecer en el recurso de amparo,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26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97-2018,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97-2018,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