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31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Pedro José González-Trevijano Sánchez, don Antonio Narváez Rodríguez,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1020-2019, promovida por el Juzgado de lo Contencioso-Administrativo núm. 32 de Madrid, respecto de los arts. 107 y 108 del texto refundido de la Ley reguladora de las haciendas locales, aprobado por el Real Decreto Legislativo 2/2004, de 5 de marzo, por posible vulneración del art. 31.1 de la Constitución. Han comparecido el abogado del Estado, en representación del Gobierno de la Nación, y la fiscal general del Estado.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febrero de 2019 tuvo entrada en el registro general del Tribunal Constitucional un escrito del Juzgado de lo Contencioso-Administrativo núm. 32 de Madrid (recurso núm. 336-2018), al que se acompaña, junto al testimonio del correspondiente procedimiento, el auto de 8 de febrero 2018, por el que se acordaba plantear una cuestión de inconstitucionalidad con relación a los arts. 107 y 108 del texto refundido de la Ley reguladora de las haciendas locales, aprobado por el Real Decreto Legislativo 2/2004, de 5 de marzo (en adelante, TRLHL), por presunta vulneración del principio de capacidad económica, de progresividad y de la prohibición de confiscatoriedad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Rocío Patricia del Campo Sicre adquirió una vivienda en el término municipal de Majadahonda el día 30 de enero de 2003 por importe de 66.111,33 €, que luego transmitió con fecha de 15 de febrero de 2017 por importe de 70.355,00 €, obteniendo una ganancia patrimonial bruta de 4.243,67 €. No obstante, una vez descontados los gastos y tributos soportados tanto al momento de la adquisición como al de la transmisión (de 769,77 €), la ganancia real neta fue de 3.473,90 €.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28 de febrero de 2017 presentó ante el ayuntamiento de Majadahonda la correspondiente declaración por el impuesto sobre el valor de los terrenos de naturaleza urbana, quien con fecha de 2 de mayo de 2017 procedió a practicarle una liquidación (expediente núm. 0001133449; liquidación núm. 001264-2017) sobre una base imponible (incremento del valor) de 17.800,12 € (aplicando un porcentaje de incremento del 44,80 por 100 sobre el valor catastral del suelo de 39.732,41 €, a razón de un 3,2 por ciento de incremento por cada uno de los 14 años de permanencia), con una cuota tributaria resultante de 3.560,02 € (al 20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Dado que la cuota tributaria liquidada era superior al importe de la ganancia patrimonial neta obtenida, con fecha de 20 de diciembre de 2017 la Sra. del Campo interpuso un recurso de reposición solicitando la anulación de la liquidación con devolución de la cantidad ingresada, con fundamento en la sentencia 519/2017, de 20 de julio, del Tribunal Superior de Justicia de Madrid que, tras la STC 59/2017 (que declaró la inconstitucionalidad del art. 107.2 y 110.4 TRLHL), consideró que, una vez expulsados del ordenamiento ex origine tales preceptos, no era posible girar liquidación alguna por el impuesto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Transcurrido el plazo legal sin haberse resuelto expresamente el recurso promovido contra la anterior liquidación, la Sra. del Campo procedió a interponer con fecha de 18 de julio de 2018 un recurso contencioso-administrativo cuyo conocimiento le correspondió al Juzgado de lo Contencioso-Administrativo núm. 32 de Madrid (procedimiento abreviado núm. 336-2018). Una vez concluso el procedimiento, mediante providencia con fecha de 4 de enero de 2019, con suspensión del término para dictar sentencia, se dio traslado a las partes y al Ministerio Fiscal para que alegasen sobre “si las normas que disciplinan el impuesto del incremento del valor de los terrenos de naturaleza urbana [podían] contravenir la doctrina constitucional sobre la capacidad económica, prohibición de no confiscatoriedad y progresividad de los tributos, de tal modo que de la adecuación o no de los artículos 107 y 108 del texto refundido de la Ley reguladora de las haciendas locales de 2004 al artículo 31 de la Constitución, resulta determinante del sentido del fallo que se haya de dictar en los presentes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evacuó el trámite de alegaciones conferido por informe de 17 de enero de 2019 en el que manifestó no oponerse al planteamiento de la cuestión. Por su parte, el ayuntamiento de Majadahonda mediante escrito de 23 de enero de 2019 se opuso al citado planteamiento al considerar que, dado que se había acreditado la existencia de una ganancia patrimonial, procedía la aplicación del impuesto conforme a lo señalado en la STC 59/2017. La parte recurrente, finalmente, no efectuó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de 8 de febrero de 2019 el órgano judicial proponente, tras precisar tanto los antecedentes de hecho como la forma de cuantificación del incremento del valor de los terrenos de acuerdo con las previsiones del Real Decreto Legislativo 2/2004, procede a concretar el alcance del principio de capacidad económica del art. 31.1 CE en la doctrina de este Tribunal Constitucional, para concluir que este principio, junto con el de progresividad, obligan a modular la carga tributaria de cada contribuyente “en la medida de la capacidad económica”. Considera el órgano judicial, sin embargo, que la forma de cálculo de la cuota a pagar por el impuesto sobre incremento de valor de los terrenos de naturaleza urbana (ex arts. 107 y 108 TRLHL) es totalmente ajena al incremento real obtenido, hasta el punto que puede ser incluso superior al propio incremento del valor del terreno. Esto supondría que no es conforme con la Constitución un gravamen que obliga a los sujetos pasivos del impuesto a soportar la misma carga tributaria con independencia de la capacidad económica puesta de manifiesto al momento de su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aunque el sistema tributario afecta, lógicamente, a la propiedad privada, sus figuras no pueden “agotar la riqueza imponible” y sin embargo, el impuesto sobre incremento cuestionado tiene alcance confiscatorio en aquellos supuestos en los que la cuota a pagar “es superior al rendimiento que se obtiene”. Esto sin olvidar que la concurrencia de este impuesto con otras figuras tributarias vigentes (el impuesto sobre la renta de las personas físicas) puede llegar a privar al sujeto pasivo de sus rentas y propiedades, lo que podría resultar confiscatorio en contra de la prohibición prevista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subraya el órgano judicial que en el supuesto que se plantea en esta cuestión de inconstitucionalidad se manifiesta una diferencia neta entre el precio de adquisición y el de transmisión de 3.473,90 € y, sin embargo, se atribuye un incremento de valor, derivado de la aplicación de la normativa del impuesto de 17.800,12 €, con una cuota a pagar de 3.560,02 €, superior al incremento real obtenido. Se trata de una situación distinta a la resuelta por la STC 59/2017 (en la que no existía un incremento de valor, pero sí una deuda tributaria). Pues bien, considera el órgano judicial a estos efectos que, si existiendo un incremento de valor real por la transmisión de un terreno, la cuota a pagar es superior al mismo, se habría producido una “expropiación de facto”, lo que podría tener carácter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de 26 de marzo de 2019, el Pleno de este Tribunal acordó admitir a trámite la cuestión planteada y, de conformidad con el art. 10.1 c) de la Ley Orgánica del Tribunal Constitucional (LOTC), reservar para sí su conocimiento, dando traslado de las actuaciones recibidas, conforme establece el art. 37.3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con publicación de la incoación de la cuestión en el “Boletín Oficial del Estado” (lo que tuvo lugar en el “BOE” núm. 79, de 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5 de abril 2019 tuvo entrada en el registro de este Tribunal un escrito del presidente del Senado por el que se ponía en conocimiento de este Tribunal el acuerdo de personación de esta cámara en el procedimiento y de ofrecimiento de colaboración a los efectos del art. 88.1 LOTC. A continuación, el día 8 de abril de 2019 se recibió otra comunicación de la presidenta del Congreso de los Diputados por el que se trasladaba el acuerdo de personación de dicha cámara y de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abril de 2019 tuvo entrada en el registro general de este Tribunal un escrito del abogado del Estado en el que solicitaba que se le tuviese personado en el procedimiento y que se desestimase la cuestión de inconstitucionalidad. A su juicio, la duda planteada por el órgano judicial (gravamen excesivo de la ganancia obtenida por el sujeto) parte de una concepción errónea del concepto del “incremento de valor” en su regulación positiva, pues, en los supuestos no afectados por la declaración de inconstitucionalidad de la STC 59/2017, la Ley de haciendas locales (Real Decreto Legislativo 2/2004, de 5 de marzo) solo toma en consideración el valor catastral en el momento del devengo (referenciado al de mercado según el art. 22 del texto refundido de la Ley de catastro, aprobado por el Real Decreto Legislativo 1/2004, de 5 de marzo) y no otros valores, como podría ser el valor catastral en el momento de la adquisición del terreno o los valores comparativos de compra y venta del mismo. De este modo, el impuesto sobre el incremento del valor de los terrenos de naturaleza urbana no pretende gravar la ganancia mercantil obtenida por el sujeto pasivo en la operación de venta por comparación entre el precio de adquisición y el precio de venta, sino el valor estático o acumulado del inmueble. Por tanto, cuando se acredite en un caso concreto que no ha existido, en términos económicos y reales, un incremento de valor, no se habrá realizado el presupuesto de hecho del tributo. Sin embargo, cuando sí exista ese incremento, la forma de determinarlo será con arreglo “al porcentaje anual que determina cada ayuntamiento” (art. 107.4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impuesto sobre el incremento del valor, como acordó la STC 59/2017, no es contrario a la Constitución con carácter general, sino únicamente en aquellos supuestos en los que somete a tributación situaciones inexpresivas de capacidad económica; esto es, aquellas que no presentan aumento de valor del terreno al momento de la transmisión. La misma STC 59/2017 declaró también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por el contribuyente (fundamento jurídico 3). El fundamento del tributo no es, entonces, gravar el incremento “real” provocado por el titular del terreno por diferencia entre unos precios de venta y compra, sino gravar el incremento de valor del terreno derivado de la acción urbanística del municipio (art. 47 CE, informe de la Dirección General de Tributos de fecha 16 de abril de 2019 y sentencia de la Sala de lo Contencioso-Administrativo del Tribunal Supremo de fecha 5 de febrero de 2001). No se trata de gravar la “capacidad de pago” exteriorizada con la ganancia patrimonial por diferencia entre un precio de venta y un precio de compra (capacidad económica real), sino el beneficio recibido por el contribuyente durante un período de tiempo por la actuación de la corporación local calculado de forma objetiva; esto es, sin atender al efecto mercantil de obtención de renta (capacidad económica potencial). En definitiva, la regulación general del tributo no somete a tributación per se a situaciones de hecho inexpresivas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adecuación de los preceptos cuestionados al principio de no confiscación, considera que no solo es predicable del sistema tributario en su conjunto y no de cada uno de sus tributos en particular (SSTC 150/1990, FJ 9, y 233/1999, FFJJ 23 y 39), sino que, además, no ha quedado acreditado que se haya producido el efecto privativo de toda la renta y del patrimonio del sujeto pasivo con el tributo aplicado o en conjunción con las restantes figuras impositivas. De hecho, en el caso concreto que es objeto del proceso judicial, la base imponible calculada en función del valor catastral al momento de la venta era de 17.800,12 €, de manera que al ser la cuota de 3.560,02 €, la presión soportada ha sido en torno al 20 por 100 (sin gastos y demás). En consecuencia, dado que la supuesta inconstitucionalidad no puede deducirse sin más de la normativa aplicada, sino de su eventual y circunstancial aplicación al caso concreto, y, en el mismo, no se ha producido un alcance confiscatorio, la cuestión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7 de mayo de 2019, la fiscal general de Estado presentó sus alegaciones, concluyendo que “los arts. 107.1 y 107.2 a) TRLHL serían inconstitucionales en la medida que someten a tributación situaciones de incrementos de valor que vulneran los principios de capacidad económica y de no confiscatoriedad del art. 31.1 CE”. Tras concretar los hechos objeto de la presente cuestión, identificar el contenido de las normas cuestionadas, precisar las dudas planteadas por el órgano judicial, analizar el cumplimiento de los juicios de relevancia y aplicabilidad, pasa —tomando como referencia la doctrina de este Tribunal Constitucional relativa al principio de capacidad económica— a subrayar que en el caso planteado no se está ante una situación caracterizada por una riqueza inexistente, al haberse producido —como el propio promotor de la cuestión reconoce— una ganancia para el contribuyente. Se está en presencia, entonces, de una situación en la que se ha puesto de manifiesto una capacidad económica susceptible de ser sometida a tributación. No se discute, por tanto, la existencia de un incremento de valor del terreno en el momento de la transmisión, sino el cálculo de la base imponible conforme a las reglas del impuesto que ha provocado que la cuota a pagar sea superior al incremento de valor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hay que analizar si, existiendo un incremento de valor real inferior al derivado de aplicar las reglas objetivas de cálculo del impuesto, se estaría gravando una renta en parte inexistente, de manera que se estaría haciendo tributar al sujeto pasivo por una capacidad económica objetiva no coincidente con la realmente puesta de manifiesto (en el caso que subyace en el proceso, mientras que el beneficio real obtenido por el contribuyente fue de 4.243,67 €, sin embargo, la base imponible calculada legalmente ascendió a 17.800,02 €, siendo la cuota pagada de 3.560,02 €). De esta manera, las reglas de determinación de la base imponible han atribuido al sujeto pasivo una capacidad económica superior al beneficio realmente obtenido, viéndose obligado a soportar una carga tributaria ajena al quantum real del incremento de valor que le ha supuesto la venta del inmueble, para terminar tributando, en parte, por una riqueza inexistente. Así las cosas, si el sujeto pasivo debe cumplir con su obligación de contribuir “exclusivamente de acuerdo con su capacidad económica” (STC 26/2017, FJ 2), la forma de cuantificar la base imponible, lejos de respetar el principio de capacidad económica, obliga a tributar por una riqueza imponible que, existiendo, no se adecua a la realmente derivada de la transmisión del inmueble, sometiendo a tributación una riqueza que, aun siendo existente, es en parte virtual o ficticia.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situación encontraría solución si se posibilitase la prueba de la plusvalía realmente producida en el momento de la transmisión del inmueble, facilitando al sujeto pasivo acreditar incrementos de valor inferiores a los que resultan de la aplicación de las reglas de cálculo de la base imponible; y sobre todo si se tiene en cuenta que la STC 57/2019 declaró inconstitucional la regla del art. 110.4 TRLHL, “al impedir a los sujetos pasivos que pu[diesen] acreditar la existencia de una situación inexpresiva de capacidad económica” [fundamento jurídico 5 b)]. Por tanto, la posibilidad de habilitar al sujeto pasivo para acreditar incrementos de valor inferiores a los que resultan de la aplicación de las reglas de cálculo de la base imponible permitiría adecuar la cuantificación del hecho imponible y, por tanto, de la capacidad económica gravada, a la plusvalía real generada en el momento de la transmisión. Sin embargo, dado que deben observarse las reglas legales de cálculo de la base imponible, se producen situaciones que desconocen la capacidad económica real del contribuyente y, por ende, el principio de capacidad económica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posible vulneración de la prohibición de confiscatoriedad señala la fiscal general del Estado que dicho principio se vulnera, conforme a la doctrina constitucional, bien cuando con la aplicación de las diversas figuras tributarias se llegara a privar al sujeto pasivo de sus rentas y propiedades, bien cuando un tributo agotase la riqueza imponible so pretexto del deber de contribuir al sostenimiento de los gastos públicos, o bien cuando sometiese a gravamen una riqueza inexistente en contra del principio de capacidad económica (STC 26/2017, FJ 2). Pues bien, referido el principio de no confiscatoriedad al conjunto del sistema tributario, se vulneraría cuando se prive al sujeto pasivo de sus rentas y propiedades, consideradas en tu totalidad, lo que, a su juicio, no es el caso. Y referido el citado principio a la óptica de cada tributo o figura impositiva la supuesta confiscatoriedad devendría —según señala el órgano judicial promotor de la cuestión— de que la cuota a pagar ascendió al 83,89 por 100 del beneficio obtenido por el sujeto pasivo con la venta del inmueble (abstracción hecha de cualquier consideración referida a otros gastos o tributos a abonar por el sujeto pasivo que trajeran causa de la transmisión del inmueble), lo que prácticamente agotó la riqueza imponible, debiendo analizarse la cuestión, entonces, desde la óptica del principio de proporcionalidad, que pretende evitar el exceso en la imposición. Sobre este particular considera que una imposición excesiva sería contraria al derecho que les asiste a los sujetos tributarios de que la carga tributaria que deban soportar se adecue a los principios de capacidad económica, progresividad y no confiscatoriedad. Y a su juicio resulta evidente que en aquellos supuestos en los que la carga impositiva es desmedida en relación con la riqueza real obtenida con la transmisión, se produce una desproporción entre la riqueza realmente obtenida y la efectivamente gravada conforme las reglas del impuesto, lo que provoca un sacrificio excesivo del derecho del contribuyente que contradice su derecho a tributar con arreglo a su capacidad económica y sin que el tributo tenga un alcance confiscatorio (por falta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la fiscal general del Estado, aunque el órgano judicial hace referencia tanto a la inflación como elemento que reforzaría la infracción del principio de capacidad o el carácter confiscatorio de la cuota, si se actualizara el valor de adquisición conforme a la misma, así como a la posible afectación por el impuesto aplicado del principio de progresividad, ni una ni otra cuestión fueron planteadas a las partes y al Ministerio Fiscal en el trámite de audiencia previo a la promoción de la presente cuestión, por lo que debe decaer su análisis. En cualquier caso, —añade— respecto de la primera, de conformidad con la doctrina de este Tribunal Constitucional, el principio de progresividad es predicable no ya tanto de un impuesto en particular sino sobre todo del sistema impositivo en general (SSTC 76/1990 y 150/1990), lo que supondría que la progresividad debe contemplar la totalidad de la situación económica del sujeto pasivo (renta, patrimonio o consumo). Además, dado que el grado de progresividad de cada tributo debe determinarse en función de la base imponible (STC 45/1989, FJ 4), el análisis de las reglas de cálculo de la cuota tributaria del impuesto analizado denota que, a mayor base imponible, esto es, a mayor capacidad económica, la cuota a pagar, en igualdad de condiciones, aumenta para aquellos contribuyentes cuyo incremento de valor es superior, satisfaciendo con ello el criterio de progresividad. Y respecto de la segunda cuestión señala que, aun siendo cierto que el legislador no ha previsto la corrección monetaria del valor de adquisición dada la actualización periódica del valor catastral de los inmuebles mediante los coeficientes que se contienen en los presupuestos generales del Estado, sin embargo, solo a aquel le corresponde la determinación de los elementos esenciales del tributo (como el hecho imponible, la base imponible, el tipo de gravamen y la cuota tributaria), de modo que el promotor de la cuestión indirectamente estaría propugnando un método de cálculo ajeno al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general de Estado los arts. 107.1 y 107.2 a) TRLHL serían inconstitucionales en la medida que someten a tributación situaciones de incrementos de valor que vulneran los principios de capacidad económica y no confiscatoriedad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2019 se señaló para deliberación y fallo de la presente sentencia el día 31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duda planteada. Como ha quedado expuesto en los antecedentes, para el Juzgado de lo Contencioso-Administrativo núm. 32 de Madrid, los arts. 107 y 108 del texto refundido de la Ley reguladora de las haciendas locales, aprobado por el Real Decreto Legislativo 2/2004, de 5 de marzo (en lo sucesivo, TRLHL), podrían ser contrarios a los principios de capacidad económica y de progresividad, así como a la prohibición de confiscatoriedad (art. 31.1 CE). Ello por el sometimiento a tributación de capacidades económicas irreales por el impuesto sobre el incremento de valor de los terrenos de naturaleza urbana, incluso llegando a agotar la riqueza imponible, lo que podría tener un carácter confiscatorio (porque, si bien el incremento real obtenido por la diferencia entre el precio de adquisición y el de transmisión del inmueble fue de 3.473,90 €, el incremento de valor derivado de aplicar la regla de cálculo prevista en la normativa del impuesto fue de 17.800,12 €, con una cuota tributaria a pagar de 3.560,02 €, superior a aquel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 Estado considera igualmente que, cuando existe un incremento de valor del terreno al momento de la transmisión y la cuota a pagar es superior al incremento realmente experimentado, se estaría tributando, en parte, por una renta inexistente, virtual o ficticia, produciendo un exceso de tributación contraria a los principios de capacidad económica y no confiscatoriedad (art. 31.1 CE). A su juicio, en supuestos como el que ha dado lugar al planteamiento de la presente cuestión, se estaría produciendo una desproporción entre la riqueza realmente obtenida y la efectivamente gravada conforme a las reglas del impuesto, lo que provoca un sacrificio del derecho del contribuyente a tributar con arreglo a su capacidad económica y sin que el tributo tenga un alcance confiscatorio. Por consiguiente, los arts. 107.1 y 107.2 a) TRLHL serían inconstitucionales, en la medida en que someten a tributación situaciones de incrementos de valor que vulneran los principios de capacidad económica y no confiscatoriedad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 la misma opinión el abogado del Estado para quien, dado que el impuesto sobre el incremento del valor de los terrenos de naturaleza urbana no pretende gravar la capacidad económica real (la ganancia patrimonial obtenida por el sujeto pasivo por la diferencia entre el precio de adquisición y el precio de venta), sino el beneficio calculado de forma objetiva derivado de la actuación de la corporación local durante un periodo dado, es evidente que la regulación general del tributo no somete a tributación —per se— situaciones de hecho inexpresivas de capacidad económica. Además, a su juicio, ni la prohibición de no confiscación es predicable de cada uno de los tributos del sistema tributario en particular sino de su conjunto, ni en el caso concreto ha quedado acreditado que se haya producido el efecto privativo de toda la renta y del patrimonio del sujeto pasivo con el tributo aplicado o en conjunción con las restantes figuras impositivas; antes al contrario, la base imponible objetivamente calculada conforme a las reglas del tributo era de 17.800,12 €, de manera que al ser la cuota solo de 3.560,02 €, la tributación efectivamente soportada ha estado en torno al 20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impuesto sobre el incremento de valor de los terrenos de naturaleza urbana: naturaleza. Como ya hemos tenido la oportunidad de señalar, el impuesto sobre el incremento de valor de los terrenos de naturaleza urbana es un tributo que, según su configuración normativa, grava el “incremento de valor” que experimenten los terrenos (art. 104.1 TRLHL), “a lo largo de un período máximo de 20 años” (art. 107.1 TRLHL), y que se pone de manifiesto “a consecuencia de la transmisión de la propiedad de los terrenos” (art. 104.1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su objeto es el “incremento de valor”, que se cuantifica y somete a tributación a partir del instante de su transmisión, sin embargo, el gravamen no se anuda necesariamente a la existencia de ese “incremento” sino a la mera titularidad del terreno durante un intervalo temporal dado. Basta, entonces, con que se haya sido titular de un terreno de naturaleza urbana durante ese intervalo temporal dado para que el legislador anude a esta circunstancia, como consecuencia inseparable e irrefutable, un incremento de valor sometido a tributación, que cuantifica de forma automática mediante la aplicación al momento de la transmisión sobre el valor que tenga el terreno a efectos del impuesto sobre bienes inmuebles de un porcentaje fijo por cada año de tenencia [art. 107.2 a) y 4 TRLHL]. Y esto lo hace con independencia tanto del quantum real del incremento como de la propia existencia del mismo [en este sentido, SSTC 26/2017, de 16 de febrero, FJ 3 (con relación a la Norma Foral 16/1989, de 5 de julio, del impuesto sobre el incremento del valor de los terrenos de naturaleza urbana del territorio histórico de Guipúzcoa); 37/2017, de 1 de marzo, FJ 3 (respecto a la Norma Foral 46/1989, de 19 de julio, del impuesto sobre el incremento del valor de los terrenos de naturaleza urbana del territorio histórico de Álava); 48/2017, de 27 de abril, FJ 2 (con referencia a la Norma Foral 46/1989, de 19 de julio, del impuesto sobre el incremento del valor de los terrenos de naturaleza urbana del territorio histórico de Álava); 59/2017, de 11 de mayo, FJ 3 (en relación con el texto refundido de la Ley reguladora de las haciendas locales, aprobado por el Real Decreto Legislativo 2/2004, de 5 de marzo), y 72/2017, de 5 de junio, FJ 3 (en conexión con la Ley Foral 2/1995, de 10 de marzo, de haciendas locales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gravamen de capacidades económicas inexistentes. Este Tribunal ha señalado en repetidas ocasiones que es constitucionalmente admisible que el legislador establezca impuestos que, sin desconocer o contradecir el principio de capacidad económica, estén orientados al cumplimiento de fines o a la satisfacción de intereses públicos que la Constitución preconiza o garantiza (como, por ejemplo, el derecho de la comunidad a participar en las plusvalías que genere la acción urbanística de los entes públicos que consagra el art. 47 CE). Basta, entonces, con que dicha capacidad económica exista como riqueza o renta real o potencial en la generalidad de los supuestos contemplados por el legislador al crear el impuesto, para que el principio de capacidad económica quede a salvo. Eso sí, en ningún caso puede el legislador establecer tributos tomando en consideración actos o hechos que no sean exponentes de una riqueza real o potencial; o, lo que es lo mismo, “en aquellos supuestos en los que la capacidad económica gravada por el tributo sea, no ya potencial, sino inexistente, virtual o ficticia” (SSTC 26/2017, FJ 3; 37/2017, FJ 3; 59/2017, FJ 3, y 72/2017,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siendo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es importante subrayar que “una cosa es gravar una renta potencial (el incremento de valor que presumiblemente se produce con el paso del tiempo en todo terreno de naturaleza urbana) y otra muy distinta es someter a tributación una renta irreal” (SSTC 26/2017, FJ 3; 59/2017, FJ 3, y 72/2017, FJ 3). Parece claro, por tanto, que la circunstancia de que el nacimiento de la obligación tributaria se haga depender exclusivamente de la transmisión de un terreno, puede ser una condición necesaria en la configuración del tributo, pero en modo alguno puede erigirse en una condición suficiente en un tributo cuyo objeto es el “incremento de valor” de tal terreno. Al hecho de esa transmisión hay que añadir, en todo caso, la necesaria materialización de un incremento de valor del terreno, exponente de una capacidad económica real o, por lo menos, potencial. De este modo, de no haberse producido un incremento real en el valor del terreno transmitido, la capacidad económica pretendidamente gravada dejaría de ser potencial para convertirse en irreal o ficticia, violándose con ello el principio de capacidad económica consagrado en el art. 31.1 CE (SSTC 37/2017, FJ 3; 59/2017, FJ 3, y 72/2017,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regulación contenida en los arts. 107.1, 107.2 a) y 110.4 TRLHL, este Tribunal consideró que “fin[gían], sin admitir prueba en contrario, que por el solo hecho de haber sido titular de un terreno de naturaleza urbana durante un determinado período temporal (entre uno y veinte años), se revela[ba], en todo caso, un incremento de valor y, por tanto, una capacidad económica susceptible de imposición, impidiendo al ciudadano cumplir con su obligación de contribuir, no de cualquier manera, sino exclusivamente ‘de acuerdo con su capacidad económica’ (art. 31.1 CE). De esta manera, al establecer el legislador la ficción de que ha[bía] tenido lugar un incremento de valor susceptible de gravamen al momento de toda transmisión de un terreno por el solo hecho de haberlo mantenido el titular en su patrimonio durante un intervalo temporal dado, soslayando aquellos supuestos en los que no se ha[bía] producido ese incremento, lejos de someter a tributación una capacidad económica susceptible de gravamen, les estaría haciendo tributar por una riqueza inexistente, en abierta contradicción con el principio de capacidad económica del citado artículo 31.1 CE” (STC 59/2017, FJ 3). Y por tal motivo alcanzamos la conclusión de que los preceptos cuestionados, en los supuestos de no incremento o, incluso, de decremento en el valor de los terrenos de naturaleza urbana, estaban gravando una renta ficticia y, por tanto, sometiendo a tributación “situaciones de hecho inexpresivas de capacidad económica, lo que contra[decía] frontalmente el principio de capacidad económica que garantiza el artículo 31.1 CE” (STC 59/2017,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gravamen de capacidades económicas parcialmente inexistentes. La situación que ahora se somete al conocimiento de este Tribunal no es la del gravamen de una situación de no incremento en el valor de un terreno de naturaleza urbana, ni tampoco la de decremento. Concretamente, en el supuesto de hecho que ha dado lugar al planteamiento de la presente cuestión de inconstitucionalidad, frente a una ganancia patrimonial realmente generada de 3.473,90 €, el incremento de valor derivado de la aplicación de la regla del cálculo establecida en el art. 107.4 TRLHL ascendió a 17.800,12 € (aplicando un porcentaje de incremento del 44,80 por 100 sobre el valor catastral del suelo de 39.732,41 €, a razón de un 3,2 por 100 de incremento por cada uno de los 14 años de permanencia para el sujeto pasivo, según lo establecido en la ordenanza fiscal núm. 4 del ayuntamiento de Majadahonda, en la redacción vigente en el momento de la transmisión). Y al aplicar el tipo de gravamen previsto en el art. 108.1 TRLHL (del 20 por 100, de conformidad con la misma ordenanza fiscal núm. 4 del ayuntamiento de Majadahonda), resultó una cuota tributaria de 3.560,02 €.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expuesto, es un hecho incontrovertible que, en el concreto asunto que ha dado lugar al planteamiento de la presente cuestión de inconstitucionalidad, al aplicarse el tipo de gravamen establecido en el art. 108.1 TRLHL a la base imponible calculada conforme a lo prevenido en el art. 107.4 TRLHL, la cuota tributaria derivada superó el 100 por 100 de la riqueza efectivamente generada; con ello se está exigiendo al sujeto pasivo que cumpla con su deber de contribuir al sostenimiento de los gastos públicos mediante la imposición de una carga “excesiva” o “exagerada” [en la terminología del Tribunal Europeo de Derechos Humanos (por ejemplo, en sentencias de 3 de julio de 2003, asunto Buffalo Srl c. Italia; de 9 de marzo de 2006, asunto Eko-Elda AVEE c. Grecia; de 14 de mayo de 2013, asunto N.K.M. c. Hungría, y de 2 de julio de 2013, asunto R.Sz. c. Hungría), del Tribunal Constitucional alemán (por ejemplo, en las sentencias de 17 de enero de 1957; de 22 de junio de 1995, y de 18 de enero de 2006); o del Consejo Constitucional francés (por ejemplo, en las decisiones 2005-530, de 29 de diciembre; 2012-662, de 29 de diciembre, y 2013-684,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importante no olvidar, como ya hemos tenido la oportunidad de señalar, que “una cosa es gravar una renta potencial (el incremento de valor que presumiblemente se produce con el paso del tiempo en todo terreno de naturaleza urbana) y otra muy distinta es someter a tributación una renta irreal, diferencia esta que es importante subrayar porque, si así fuese, es evidente que el precepto cuestionado sería contrario al principio constitucional de capacidad económica, dado que —como hemos venido señalando— dicho principio quiebra en aquellos supuestos en los que la capacidad económica gravada por el tributo sea no ya potencial sino inexistente o ficticia” (SSTC 26/2017, FJ 3; 59/2017, FJ 3, y 72/2017, FJ 3). Y también es necesario no descuidar que todo tributo que someta a gravamen una riqueza inexistente en contra del principio de capacidad económica, o que agote la riqueza imponible so pretexto del deber de contribuir al sostenimiento de los gastos públicos, estaría incurriendo, además, “en un resultado obviamente confiscatorio” (STC 26/2017, de 16 de febrero, FJ 2, y ATC 69/2018,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aquellos supuestos en los que de la aplicación de la regla de cálculo prevista en el art. 107.4 TRLHL (porcentaje anual aplicable al valor catastral del terreno al momento del devengo) se derive un incremento de valor superior al efectivamente obtenido por el sujeto pasivo, la cuota tributaria resultante, en la parte que excede del beneficio realmente obtenido, se corresponde con el gravamen ilícito de una renta inexistente en contra del principio de capacidad económica y de la prohibición de confiscatoriedad que deben operar, en todo caso, respectivamente, como instrumento legitimador del gravamen y como límite del mismo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declaración de inconstitucionalidad. La situación que ha dado lugar al planteamiento de la presente cuestión de inconstitucionalidad no puede considerarse en modo alguno como excepcional y, por tanto, el efecto negativo que provoca no es posible asumirlo como algo inevitable en el marco de la generalidad de la norma. Antes al contrario, se produce en relación con supuestos generales perfectamente definibles como categoría conceptual, razón por la cual, la legítima finalidad perseguida por la norma no puede prevalecer frente a las concretas disfunciones que genera, contrarias, como hemos visto, al principio de capacidad económica y a la prohibición de confiscatoriedad (art. 31.1 CE). En consecuencia, debe estimarse la presente cuestión de inconstitucionalidad promovida por el Juzgado de lo Contencioso-Administrativo núm. 32 de Madrid, y, en consecuencia, declarar que el art. 107.4 del texto refundido de la Ley reguladora de las haciendas locales, aprobado por el Real Decreto Legislativo 2/2004, de 5 de marzo, es inconstitucional por vulnerar el principio de capacidad económica y la prohibición de confiscatoriedad, uno y otra consagrados en el art. 31.1 CE, en aquellos supuestos en los que la cuota a pagar es superior al incremento patrimonial obtenido por 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alcance de la declaración: la anterior declaración de inconstitucionalidad no puede serlo, sin embargo, en todo caso, lo que privaría a las entidades locales del gravamen de capacidades económicas reales. En coherencia con la declaración parcial de inconstitucionalidad que hizo la STC 59/2017, el art. 107.4 TRLHL debe serlo únicamente en aquellos casos en los que la cuota a satisfacer es superior al incremento patrimonial realmente obtenido por el contribuyente. Eso sí, la inconstitucionalidad así apreciada no puede extenderse, sin embargo, como pretende el órgano judicial, al art. 108.1 TRLHL (tipo de gravamen), pues el vicio declarado se halla exclusivamente en la forma de determinar la base imponible y no en la de calcular la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añadirse una precisión sobre el alcance concreto del fallo. Por exigencia del principio de seguridad jurídica (art. 9.3 CE), y al igual que hemos hecho en otras ocasiones (por todas, SSTC 22/2015 de 16 de febrero, FJ 5, y 73/2017, de 8 de junio, FJ 6), únicamente han de considerarse situaciones susceptibles de ser revisadas con fundamento en esta sentencia aquellas que, a la fecha de publicación de la misma, no hayan adquirido firmeza por haber sido impugnadas en tiempo y forma, y no haber recaído todavía en ellas una resolución administrativa o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necesaria intervención del legislador: es importante señalar que una vez declarados inconstitucionales, primero los arts. 107.1, 107.2 a) y 110.4 del TRLHL por la STC 59/2017, de 11 de mayo, y ahora el art. 107.4 TRLHL por la presente sentencia, es tarea del legislador, en el ejercicio de su libertad de configuración normativa, realizar la adaptación del régimen legal del impuesto a las exigencias constitucionales puestas de manifiesto en una y otra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olvidar que, de conformidad con el art. 31.1 CE, los ciudadanos no solo tienen el deber constitucional de contribuir al sostenimiento de los gastos públicos, sino también el derecho de hacerlo, no de cualquier manera, sino únicamente “con arreglo a la ley” y exclusivamente “de acuerdo con su capacidad económica”. Por otra parte, el principio de autonomía financiera de los municipios (arts. 137 y 140 CE) exige que las haciendas locales dispongan de medios financieros suficientes para poder ejercer, sin condicionamientos indebidos, las funciones que legalmente les han sido encomendadas, fundamentalmente, mediante tributos propios (art. 142 CE), pero que por estar sometidos al principio de reserva de ley (arts. 31.3 y 133.1 y 2 CE), corresponde al legislador estatal integrar las exigencias derivadas de esa reserva de ley como medio de preservar tanto la unidad del ordenamiento como una básica igualdad de posición de los contribuyentes [STC 233/1999, de 16 de diciembre, FJ 10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al legislador le es dado, entonces, regular esa contribución y la forma de adecuarla a la capacidad económica de cada cual, dado que a fecha de hoy han trascurrido más de dos años desde la publicación de la STC 59/2017, de 11 de mayo (en el “BOE” núm. 142, de 15 de junio), sin que haya acomodado el impuesto a las exigencias constitucionales. Es importante subrayar que el principio de seguridad jurídica (art. 9.3 CE) exige no solo la claridad y certeza sobre el ordenamiento jurídico aplicable, sino también la legítima confianza y la previsibilidad en sus efectos, entendida como la expectativa razonablemente fundada del ciudadano de cuál ha de ser la actuación del poder en la aplicación del Derecho (STC 135/2018, de 13 de diciembre,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1020-2019, promovida el Juzgado de lo Contencioso-Administrativo núm. 32 de Madrid, y, en consecuencia, declarar que el art. 107.4 del texto refundido de la Ley reguladora de las haciendas locales, aprobado por el Real Decreto Legislativo 2/2004, de 5 de marzo, es inconstitucional, en los términos previstos en la letra a) del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