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5549-2018,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2018, la entidad Penrei Inversiones, S.L., representada por la procuradora de los Tribunales doña Blanca Berriatua Horta y bajo la dirección letrada doña Anju Nirmala Benavent Rodríguez, interpuso recurso de amparo contra los autos dictados por el Juzgado de Primera Instancia e Instrucción núm. 3 de Lorca en el procedimiento de ejecución hipotecaria núm. 114-2018 en fechas 28 de junio y 14 de septiembre de 2018 por los que, respectivamente, se inadmite por extemporánea la oposición a la ejecución hipotecaria y se confirma esta última decisión al desestimarse el recurso de reposición interpuesto frente a ella. La presentación de dicho escrito dio lugar al recurso de amparo núm. 5549-2018, que fue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25 de octubre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114-2018 en fechas 28 de junio y 14 de septiembre de 2018 por los que, respectivamente, se inadmite por extemporánea la oposición a la ejecución hipotecaria y se confirma esta última decisión al desestimarse el recurso de reposición interpuesto frente a ella. La presentación de dicho escrito dio lugar al recurso de amparo núm. 5551-2018 que fue también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que los referidos recursos de amparo quedaron conclusos para sentencia, por diligencia de ordenación de 26 de septiembre de 2019 se concedió audiencia al ministerio fiscal y a las partes por plazo común de diez días por si procediera su acumulación, de conformidad con el art. 83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escritos registrados el 4 de octubre de 2019, manifestó su conformidad a la acumulación. Las partes demandantes de amparo declararon su voluntad de dejar la decisión a criterio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las mismas resoluciones judiciales procedentes de un mismo procedimiento de ejecución hipotecaria dirigido contra las entidades mercantiles ahora demandantes de amparo. Además, los recursos de amparo se encuentran en la misma fase procesal tras su admisión a trámite, y la queja, relativa a la vulneración de su derecho a la tutela judicial efectiva sin indefensión (art. 24.1 CE) en su vertiente de acceso al proceso, es común en su fundamento, tanto en los aspectos fácticos como en los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5549-2018 y 5551-2018,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5551-2018, al recurso de amparo registrado con el número 5549-2018.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